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F14" w:rsidRPr="006E4999" w:rsidRDefault="00C57D22">
      <w:pPr>
        <w:rPr>
          <w:rFonts w:ascii="Times New Roman" w:hAnsi="Times New Roman" w:cs="Times New Roman"/>
          <w:sz w:val="24"/>
          <w:szCs w:val="24"/>
          <w:lang w:val="en-US"/>
        </w:rPr>
      </w:pPr>
      <w:r w:rsidRPr="006E4999">
        <w:rPr>
          <w:rFonts w:ascii="Times New Roman" w:hAnsi="Times New Roman" w:cs="Times New Roman"/>
          <w:sz w:val="24"/>
          <w:szCs w:val="24"/>
          <w:lang w:val="en-US"/>
        </w:rPr>
        <w:t xml:space="preserve">Composition </w:t>
      </w:r>
      <w:r w:rsidR="007B741F">
        <w:rPr>
          <w:rFonts w:ascii="Times New Roman" w:hAnsi="Times New Roman" w:cs="Times New Roman"/>
          <w:sz w:val="24"/>
          <w:szCs w:val="24"/>
          <w:lang w:val="en-US"/>
        </w:rPr>
        <w:t>o</w:t>
      </w:r>
      <w:bookmarkStart w:id="0" w:name="_GoBack"/>
      <w:bookmarkEnd w:id="0"/>
      <w:r w:rsidRPr="006E4999">
        <w:rPr>
          <w:rFonts w:ascii="Times New Roman" w:hAnsi="Times New Roman" w:cs="Times New Roman"/>
          <w:sz w:val="24"/>
          <w:szCs w:val="24"/>
          <w:lang w:val="en-US"/>
        </w:rPr>
        <w:t>f Committee</w:t>
      </w:r>
    </w:p>
    <w:p w:rsidR="00C57D22" w:rsidRPr="006E4999" w:rsidRDefault="00C57D22">
      <w:pPr>
        <w:rPr>
          <w:rFonts w:ascii="Times New Roman" w:hAnsi="Times New Roman" w:cs="Times New Roman"/>
          <w:sz w:val="24"/>
          <w:szCs w:val="24"/>
          <w:lang w:val="en-US"/>
        </w:rPr>
      </w:pPr>
    </w:p>
    <w:p w:rsidR="00C57D22" w:rsidRPr="006E4999" w:rsidRDefault="00C57D22" w:rsidP="00C57D22">
      <w:pPr>
        <w:pStyle w:val="ListParagraph"/>
        <w:numPr>
          <w:ilvl w:val="0"/>
          <w:numId w:val="1"/>
        </w:numPr>
        <w:jc w:val="both"/>
        <w:rPr>
          <w:rFonts w:ascii="Times New Roman" w:hAnsi="Times New Roman" w:cs="Times New Roman"/>
          <w:b/>
          <w:bCs/>
          <w:sz w:val="24"/>
          <w:szCs w:val="24"/>
        </w:rPr>
      </w:pPr>
      <w:r w:rsidRPr="006E4999">
        <w:rPr>
          <w:rFonts w:ascii="Times New Roman" w:hAnsi="Times New Roman" w:cs="Times New Roman"/>
          <w:b/>
          <w:bCs/>
          <w:sz w:val="24"/>
          <w:szCs w:val="24"/>
        </w:rPr>
        <w:t xml:space="preserve">Audit Committee </w:t>
      </w:r>
    </w:p>
    <w:p w:rsidR="00C57D22" w:rsidRPr="006E4999" w:rsidRDefault="00C57D22" w:rsidP="00C57D22">
      <w:pPr>
        <w:jc w:val="both"/>
        <w:rPr>
          <w:rFonts w:ascii="Times New Roman" w:hAnsi="Times New Roman" w:cs="Times New Roman"/>
          <w:b/>
          <w:bCs/>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Audit Committee was constituted by the Board of Directors through its resolution dated February 27, 2012. The Audit Committee was last re-constituted on March 25, 2025, and it currently comprises the following Directors:</w:t>
      </w:r>
    </w:p>
    <w:p w:rsidR="00C57D22" w:rsidRPr="006E4999" w:rsidRDefault="00C57D22" w:rsidP="006E4999">
      <w:pPr>
        <w:ind w:right="3214"/>
        <w:jc w:val="both"/>
        <w:rPr>
          <w:rFonts w:ascii="Times New Roman" w:hAnsi="Times New Roman" w:cs="Times New Roman"/>
          <w:sz w:val="24"/>
          <w:szCs w:val="24"/>
        </w:rPr>
      </w:pPr>
      <w:r w:rsidRPr="006E4999">
        <w:rPr>
          <w:rFonts w:ascii="Times New Roman" w:hAnsi="Times New Roman" w:cs="Times New Roman"/>
          <w:sz w:val="24"/>
          <w:szCs w:val="24"/>
        </w:rPr>
        <w:t>(</w:t>
      </w:r>
      <w:proofErr w:type="spellStart"/>
      <w:r w:rsidRPr="006E4999">
        <w:rPr>
          <w:rFonts w:ascii="Times New Roman" w:hAnsi="Times New Roman" w:cs="Times New Roman"/>
          <w:sz w:val="24"/>
          <w:szCs w:val="24"/>
        </w:rPr>
        <w:t>i</w:t>
      </w:r>
      <w:proofErr w:type="spellEnd"/>
      <w:r w:rsidRPr="006E4999">
        <w:rPr>
          <w:rFonts w:ascii="Times New Roman" w:hAnsi="Times New Roman" w:cs="Times New Roman"/>
          <w:sz w:val="24"/>
          <w:szCs w:val="24"/>
        </w:rPr>
        <w:t>)</w:t>
      </w:r>
      <w:r w:rsidR="006E4999">
        <w:rPr>
          <w:rFonts w:ascii="Times New Roman" w:hAnsi="Times New Roman" w:cs="Times New Roman"/>
          <w:sz w:val="24"/>
          <w:szCs w:val="24"/>
        </w:rPr>
        <w:t xml:space="preserve"> </w:t>
      </w:r>
      <w:r w:rsidRPr="006E4999">
        <w:rPr>
          <w:rFonts w:ascii="Times New Roman" w:hAnsi="Times New Roman" w:cs="Times New Roman"/>
          <w:sz w:val="24"/>
          <w:szCs w:val="24"/>
        </w:rPr>
        <w:t>Mathew K. Cherian</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(ii)</w:t>
      </w:r>
      <w:r w:rsidR="006E4999">
        <w:rPr>
          <w:rFonts w:ascii="Times New Roman" w:hAnsi="Times New Roman" w:cs="Times New Roman"/>
          <w:sz w:val="24"/>
          <w:szCs w:val="24"/>
        </w:rPr>
        <w:t xml:space="preserve"> </w:t>
      </w:r>
      <w:proofErr w:type="spellStart"/>
      <w:r w:rsidRPr="006E4999">
        <w:rPr>
          <w:rFonts w:ascii="Times New Roman" w:hAnsi="Times New Roman" w:cs="Times New Roman"/>
          <w:sz w:val="24"/>
          <w:szCs w:val="24"/>
        </w:rPr>
        <w:t>Josy</w:t>
      </w:r>
      <w:proofErr w:type="spellEnd"/>
      <w:r w:rsidRPr="006E4999">
        <w:rPr>
          <w:rFonts w:ascii="Times New Roman" w:hAnsi="Times New Roman" w:cs="Times New Roman"/>
          <w:sz w:val="24"/>
          <w:szCs w:val="24"/>
        </w:rPr>
        <w:t xml:space="preserve"> Thomas</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(iii)</w:t>
      </w:r>
      <w:r w:rsidR="006E4999">
        <w:rPr>
          <w:rFonts w:ascii="Times New Roman" w:hAnsi="Times New Roman" w:cs="Times New Roman"/>
          <w:sz w:val="24"/>
          <w:szCs w:val="24"/>
        </w:rPr>
        <w:t xml:space="preserve"> </w:t>
      </w:r>
      <w:r w:rsidRPr="006E4999">
        <w:rPr>
          <w:rFonts w:ascii="Times New Roman" w:hAnsi="Times New Roman" w:cs="Times New Roman"/>
          <w:sz w:val="24"/>
          <w:szCs w:val="24"/>
        </w:rPr>
        <w:t>Sebastian Kurian</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scope and functions of the Audit committee are in accordance with Section 177 of the Companies Act, 2013 and its terms of reference are as follows:</w:t>
      </w:r>
    </w:p>
    <w:p w:rsidR="00C57D22" w:rsidRPr="006E4999" w:rsidRDefault="00C57D22" w:rsidP="00C57D22">
      <w:pPr>
        <w:jc w:val="both"/>
        <w:rPr>
          <w:rFonts w:ascii="Times New Roman" w:hAnsi="Times New Roman" w:cs="Times New Roman"/>
          <w:b/>
          <w:bCs/>
          <w:sz w:val="24"/>
          <w:szCs w:val="24"/>
        </w:rPr>
      </w:pPr>
      <w:r w:rsidRPr="006E4999">
        <w:rPr>
          <w:rFonts w:ascii="Times New Roman" w:hAnsi="Times New Roman" w:cs="Times New Roman"/>
          <w:sz w:val="24"/>
          <w:szCs w:val="24"/>
        </w:rPr>
        <w:t>Functions and terms of operations of the Audit Committee include the following:</w:t>
      </w:r>
      <w:r w:rsidRPr="006E4999">
        <w:rPr>
          <w:rFonts w:ascii="Times New Roman" w:hAnsi="Times New Roman" w:cs="Times New Roman"/>
          <w:b/>
          <w:bCs/>
          <w:sz w:val="24"/>
          <w:szCs w:val="24"/>
        </w:rPr>
        <w:t xml:space="preserve"> -</w:t>
      </w:r>
    </w:p>
    <w:p w:rsidR="00C57D22" w:rsidRPr="006E4999" w:rsidRDefault="00C57D22" w:rsidP="00C57D22">
      <w:pPr>
        <w:jc w:val="both"/>
        <w:rPr>
          <w:rFonts w:ascii="Times New Roman" w:hAnsi="Times New Roman" w:cs="Times New Roman"/>
          <w:b/>
          <w:bCs/>
          <w:sz w:val="24"/>
          <w:szCs w:val="24"/>
        </w:rPr>
      </w:pPr>
      <w:r w:rsidRPr="006E4999">
        <w:rPr>
          <w:rFonts w:ascii="Times New Roman" w:hAnsi="Times New Roman" w:cs="Times New Roman"/>
          <w:sz w:val="24"/>
          <w:szCs w:val="24"/>
        </w:rPr>
        <w:t>The Audit Committee shall have powers, including the following</w:t>
      </w:r>
      <w:r w:rsidRPr="006E4999">
        <w:rPr>
          <w:rFonts w:ascii="Times New Roman" w:hAnsi="Times New Roman" w:cs="Times New Roman"/>
          <w:b/>
          <w:bCs/>
          <w:sz w:val="24"/>
          <w:szCs w:val="24"/>
        </w:rPr>
        <w:t>:</w:t>
      </w:r>
    </w:p>
    <w:p w:rsidR="00C57D22" w:rsidRPr="006E4999" w:rsidRDefault="00C57D22" w:rsidP="00C57D22">
      <w:pPr>
        <w:pStyle w:val="ListParagraph"/>
        <w:ind w:left="360"/>
        <w:jc w:val="both"/>
        <w:rPr>
          <w:rFonts w:ascii="Times New Roman" w:hAnsi="Times New Roman" w:cs="Times New Roman"/>
          <w:b/>
          <w:bCs/>
          <w:sz w:val="24"/>
          <w:szCs w:val="24"/>
        </w:rPr>
      </w:pPr>
    </w:p>
    <w:p w:rsidR="00C57D22" w:rsidRPr="006E4999" w:rsidRDefault="00C57D22" w:rsidP="00C57D22">
      <w:pPr>
        <w:pStyle w:val="ListParagraph"/>
        <w:numPr>
          <w:ilvl w:val="0"/>
          <w:numId w:val="3"/>
        </w:numPr>
        <w:jc w:val="both"/>
        <w:rPr>
          <w:rFonts w:ascii="Times New Roman" w:hAnsi="Times New Roman" w:cs="Times New Roman"/>
          <w:sz w:val="24"/>
          <w:szCs w:val="24"/>
        </w:rPr>
      </w:pPr>
      <w:r w:rsidRPr="006E4999">
        <w:rPr>
          <w:rFonts w:ascii="Times New Roman" w:hAnsi="Times New Roman" w:cs="Times New Roman"/>
          <w:sz w:val="24"/>
          <w:szCs w:val="24"/>
        </w:rPr>
        <w:t>To investigate any activity within its terms of reference</w:t>
      </w:r>
    </w:p>
    <w:p w:rsidR="00C57D22" w:rsidRPr="006E4999" w:rsidRDefault="00C57D22" w:rsidP="00C57D22">
      <w:pPr>
        <w:pStyle w:val="ListParagraph"/>
        <w:numPr>
          <w:ilvl w:val="0"/>
          <w:numId w:val="3"/>
        </w:numPr>
        <w:jc w:val="both"/>
        <w:rPr>
          <w:rFonts w:ascii="Times New Roman" w:hAnsi="Times New Roman" w:cs="Times New Roman"/>
          <w:sz w:val="24"/>
          <w:szCs w:val="24"/>
        </w:rPr>
      </w:pPr>
      <w:r w:rsidRPr="006E4999">
        <w:rPr>
          <w:rFonts w:ascii="Times New Roman" w:hAnsi="Times New Roman" w:cs="Times New Roman"/>
          <w:sz w:val="24"/>
          <w:szCs w:val="24"/>
        </w:rPr>
        <w:t>To seek information from any employee;</w:t>
      </w:r>
    </w:p>
    <w:p w:rsidR="00C57D22" w:rsidRPr="006E4999" w:rsidRDefault="00C57D22" w:rsidP="00C57D22">
      <w:pPr>
        <w:pStyle w:val="ListParagraph"/>
        <w:numPr>
          <w:ilvl w:val="0"/>
          <w:numId w:val="3"/>
        </w:numPr>
        <w:jc w:val="both"/>
        <w:rPr>
          <w:rFonts w:ascii="Times New Roman" w:hAnsi="Times New Roman" w:cs="Times New Roman"/>
          <w:sz w:val="24"/>
          <w:szCs w:val="24"/>
        </w:rPr>
      </w:pPr>
      <w:r w:rsidRPr="006E4999">
        <w:rPr>
          <w:rFonts w:ascii="Times New Roman" w:hAnsi="Times New Roman" w:cs="Times New Roman"/>
          <w:sz w:val="24"/>
          <w:szCs w:val="24"/>
        </w:rPr>
        <w:t>To obtain outside legal or other professional advice; and</w:t>
      </w:r>
    </w:p>
    <w:p w:rsidR="00C57D22" w:rsidRPr="006E4999" w:rsidRDefault="00C57D22" w:rsidP="00C57D22">
      <w:pPr>
        <w:pStyle w:val="ListParagraph"/>
        <w:numPr>
          <w:ilvl w:val="0"/>
          <w:numId w:val="3"/>
        </w:numPr>
        <w:jc w:val="both"/>
        <w:rPr>
          <w:rFonts w:ascii="Times New Roman" w:hAnsi="Times New Roman" w:cs="Times New Roman"/>
          <w:sz w:val="24"/>
          <w:szCs w:val="24"/>
        </w:rPr>
      </w:pPr>
      <w:r w:rsidRPr="006E4999">
        <w:rPr>
          <w:rFonts w:ascii="Times New Roman" w:hAnsi="Times New Roman" w:cs="Times New Roman"/>
          <w:sz w:val="24"/>
          <w:szCs w:val="24"/>
        </w:rPr>
        <w:t>To secure attendance of outsiders with relevant expertise, if it considers necessary.</w:t>
      </w:r>
    </w:p>
    <w:p w:rsidR="00C57D22" w:rsidRPr="006E4999" w:rsidRDefault="00C57D22" w:rsidP="00C57D22">
      <w:pPr>
        <w:jc w:val="both"/>
        <w:rPr>
          <w:rFonts w:ascii="Times New Roman" w:hAnsi="Times New Roman" w:cs="Times New Roman"/>
          <w:b/>
          <w:bCs/>
          <w:sz w:val="24"/>
          <w:szCs w:val="24"/>
        </w:rPr>
      </w:pPr>
    </w:p>
    <w:p w:rsidR="00C57D22" w:rsidRPr="006E4999" w:rsidRDefault="00C57D22" w:rsidP="00C57D22">
      <w:pPr>
        <w:pStyle w:val="ListParagraph"/>
        <w:numPr>
          <w:ilvl w:val="0"/>
          <w:numId w:val="4"/>
        </w:numPr>
        <w:jc w:val="both"/>
        <w:rPr>
          <w:rFonts w:ascii="Times New Roman" w:hAnsi="Times New Roman" w:cs="Times New Roman"/>
          <w:b/>
          <w:bCs/>
          <w:sz w:val="24"/>
          <w:szCs w:val="24"/>
        </w:rPr>
      </w:pPr>
      <w:r w:rsidRPr="006E4999">
        <w:rPr>
          <w:rFonts w:ascii="Times New Roman" w:hAnsi="Times New Roman" w:cs="Times New Roman"/>
          <w:sz w:val="24"/>
          <w:szCs w:val="24"/>
        </w:rPr>
        <w:t>The role of the audit committee shall include the following</w:t>
      </w:r>
      <w:r w:rsidRPr="006E4999">
        <w:rPr>
          <w:rFonts w:ascii="Times New Roman" w:hAnsi="Times New Roman" w:cs="Times New Roman"/>
          <w:b/>
          <w:bCs/>
          <w:sz w:val="24"/>
          <w:szCs w:val="24"/>
        </w:rPr>
        <w:t>:</w:t>
      </w:r>
    </w:p>
    <w:p w:rsidR="00C57D22" w:rsidRPr="006E4999" w:rsidRDefault="00C57D22" w:rsidP="00C57D22">
      <w:pPr>
        <w:pStyle w:val="ListParagraph"/>
        <w:ind w:left="360"/>
        <w:jc w:val="both"/>
        <w:rPr>
          <w:rFonts w:ascii="Times New Roman" w:hAnsi="Times New Roman" w:cs="Times New Roman"/>
          <w:b/>
          <w:bCs/>
          <w:sz w:val="24"/>
          <w:szCs w:val="24"/>
        </w:rPr>
      </w:pP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Overview of the Company’s financial reporting process and the disclosure of its financial information to ensure that the financial statements are correct, sufficient and credible;</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Recommendation for appointment, remuneration and terms of appointment of auditors of the Company;</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Approval of payment to statutory auditors for any other services rendered by the Statutory Auditors;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with the management, the annual financial statements and auditor's report thereon before submission to the Board for approval, with particular reference to:</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matters required to be included in the Director’s Responsibility Statement to be included in the Board’s report in terms of clause (c) of sub-section (3) of Section 134 of the Companies Act, 201;</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changes, if any, in accounting policies and practices and reasons for the same;</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major accounting entries involving estimates based on the exercise of judgment by management;</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significant adjustments made in the financial statements arising out of audit findings;</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compliance with listing and other legal requirements relating to financial statements;</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disclosure of any related party transactions;</w:t>
      </w:r>
    </w:p>
    <w:p w:rsidR="00C57D22" w:rsidRPr="006E4999" w:rsidRDefault="00C57D22" w:rsidP="00C57D22">
      <w:pPr>
        <w:pStyle w:val="ListParagraph"/>
        <w:numPr>
          <w:ilvl w:val="0"/>
          <w:numId w:val="6"/>
        </w:numPr>
        <w:jc w:val="both"/>
        <w:rPr>
          <w:rFonts w:ascii="Times New Roman" w:hAnsi="Times New Roman" w:cs="Times New Roman"/>
          <w:sz w:val="24"/>
          <w:szCs w:val="24"/>
        </w:rPr>
      </w:pPr>
      <w:r w:rsidRPr="006E4999">
        <w:rPr>
          <w:rFonts w:ascii="Times New Roman" w:hAnsi="Times New Roman" w:cs="Times New Roman"/>
          <w:sz w:val="24"/>
          <w:szCs w:val="24"/>
        </w:rPr>
        <w:t>qualifications in the draft audit report;</w:t>
      </w:r>
    </w:p>
    <w:p w:rsidR="00C57D22" w:rsidRPr="006E4999" w:rsidRDefault="00C57D22" w:rsidP="00C57D22">
      <w:pPr>
        <w:pStyle w:val="ListParagraph"/>
        <w:jc w:val="both"/>
        <w:rPr>
          <w:rFonts w:ascii="Times New Roman" w:hAnsi="Times New Roman" w:cs="Times New Roman"/>
          <w:sz w:val="24"/>
          <w:szCs w:val="24"/>
        </w:rPr>
      </w:pP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with the management, the quarterly financial statements before submission to the Board for approval;</w:t>
      </w:r>
    </w:p>
    <w:p w:rsidR="00C57D22" w:rsidRPr="006E4999" w:rsidRDefault="00C57D22" w:rsidP="00C57D22">
      <w:pPr>
        <w:pStyle w:val="ListParagraph"/>
        <w:ind w:left="360"/>
        <w:jc w:val="both"/>
        <w:rPr>
          <w:rFonts w:ascii="Times New Roman" w:hAnsi="Times New Roman" w:cs="Times New Roman"/>
          <w:sz w:val="24"/>
          <w:szCs w:val="24"/>
        </w:rPr>
      </w:pP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with the management, the statement of uses / application of funds raised through an issue (public issue, rights issue, preferential issue, etc.), the statement of funds utilized for purposes other than those stated in the offer document / prospectus / notice, and the report submitted by the monitoring agency monitoring the utilisation of proceeds of a public or rights issue, and making appropriate recommendations to the board to take up steps in this matter;</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and monitoring the auditor’s independence and performance, and effectiveness of audit process;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Approval of any subsequent modification of transactions of the Company with related parties;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Scrutiny of inter-corporate loans and investments;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Valuation of undertakings or assets of the Company, wherever it is necessary;</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Evaluation of internal financial controls and risk management systems;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with the management, performance of statutory and internal auditors, adequacy of the internal control systems;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the adequacy of internal audit function, if any, including the structure of the internal audit department, staffing and seniority of the official heading the department, reporting structure coverage and frequency of internal audit;</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Discussion with internal auditors of any significant findings and follow up there on;</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the findings of any internal investigations by the internal auditors into matters where there is suspected fraud or irregularity or a failure of internal control systems of a material nature and reporting the matter to\ the board;</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Discussion with statutory auditors before the audit commences, about the nature and scope of audit as well as post-audit discussion to ascertain any area of concern;</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Looking into the reasons for substantial defaults in the payment to the depositors, debenture holders, shareholders (in case of non-payment of declared dividends) and creditors;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the functioning of the whistle blower mechanism;</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Approval of appointment of CFO (i.e., the Whole-Time Finance Director or other person heading the finance function or discharging that function) after assessing the qualifications, experience, and background, etc. of the candidate;</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Carrying out any other function as is mentioned in the terms of reference of the Audit Committee.</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Reviewing the utilization of loans and/ or advances from/investment by the holding company in the subsidiary exceeding rupees 100 crore or 10% of the asset size of the subsidiary, whichever is lower including existing loans / advances / investments;</w:t>
      </w:r>
    </w:p>
    <w:p w:rsidR="00C57D22" w:rsidRPr="006E4999" w:rsidRDefault="00C57D22" w:rsidP="00C57D22">
      <w:pPr>
        <w:pStyle w:val="ListParagraph"/>
        <w:numPr>
          <w:ilvl w:val="0"/>
          <w:numId w:val="5"/>
        </w:numPr>
        <w:jc w:val="both"/>
        <w:rPr>
          <w:rFonts w:ascii="Times New Roman" w:hAnsi="Times New Roman" w:cs="Times New Roman"/>
          <w:sz w:val="24"/>
          <w:szCs w:val="24"/>
        </w:rPr>
      </w:pPr>
      <w:r w:rsidRPr="006E4999">
        <w:rPr>
          <w:rFonts w:ascii="Times New Roman" w:hAnsi="Times New Roman" w:cs="Times New Roman"/>
          <w:sz w:val="24"/>
          <w:szCs w:val="24"/>
        </w:rPr>
        <w:t>Audit Committee must ensure that an Information System Audit of the internal systems and processes is conducted at least once in two years to assess operational risks faced by the Company.</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Further, the Audit Committee shall mandatorily review the following information:</w:t>
      </w:r>
    </w:p>
    <w:p w:rsidR="00C57D22" w:rsidRPr="006E4999" w:rsidRDefault="00C57D22" w:rsidP="00C57D22">
      <w:pPr>
        <w:pStyle w:val="ListParagraph"/>
        <w:numPr>
          <w:ilvl w:val="0"/>
          <w:numId w:val="7"/>
        </w:numPr>
        <w:jc w:val="both"/>
        <w:rPr>
          <w:rFonts w:ascii="Times New Roman" w:hAnsi="Times New Roman" w:cs="Times New Roman"/>
          <w:sz w:val="24"/>
          <w:szCs w:val="24"/>
        </w:rPr>
      </w:pPr>
      <w:r w:rsidRPr="006E4999">
        <w:rPr>
          <w:rFonts w:ascii="Times New Roman" w:hAnsi="Times New Roman" w:cs="Times New Roman"/>
          <w:sz w:val="24"/>
          <w:szCs w:val="24"/>
        </w:rPr>
        <w:t>Management discussion and analysis of financial condition and results of operations;</w:t>
      </w:r>
    </w:p>
    <w:p w:rsidR="00C57D22" w:rsidRPr="006E4999" w:rsidRDefault="00C57D22" w:rsidP="00C57D22">
      <w:pPr>
        <w:pStyle w:val="ListParagraph"/>
        <w:numPr>
          <w:ilvl w:val="0"/>
          <w:numId w:val="7"/>
        </w:numPr>
        <w:jc w:val="both"/>
        <w:rPr>
          <w:rFonts w:ascii="Times New Roman" w:hAnsi="Times New Roman" w:cs="Times New Roman"/>
          <w:sz w:val="24"/>
          <w:szCs w:val="24"/>
        </w:rPr>
      </w:pPr>
      <w:r w:rsidRPr="006E4999">
        <w:rPr>
          <w:rFonts w:ascii="Times New Roman" w:hAnsi="Times New Roman" w:cs="Times New Roman"/>
          <w:sz w:val="24"/>
          <w:szCs w:val="24"/>
        </w:rPr>
        <w:t>Statement of significant related party transactions (as defined by the Audit Committee), submitted by the management;</w:t>
      </w:r>
    </w:p>
    <w:p w:rsidR="00C57D22" w:rsidRPr="006E4999" w:rsidRDefault="00C57D22" w:rsidP="00C57D22">
      <w:pPr>
        <w:pStyle w:val="ListParagraph"/>
        <w:numPr>
          <w:ilvl w:val="0"/>
          <w:numId w:val="7"/>
        </w:numPr>
        <w:jc w:val="both"/>
        <w:rPr>
          <w:rFonts w:ascii="Times New Roman" w:hAnsi="Times New Roman" w:cs="Times New Roman"/>
          <w:sz w:val="24"/>
          <w:szCs w:val="24"/>
        </w:rPr>
      </w:pPr>
      <w:r w:rsidRPr="006E4999">
        <w:rPr>
          <w:rFonts w:ascii="Times New Roman" w:hAnsi="Times New Roman" w:cs="Times New Roman"/>
          <w:sz w:val="24"/>
          <w:szCs w:val="24"/>
        </w:rPr>
        <w:t>Management letters / letters of internal control weaknesses issued by the Statutory Auditors;</w:t>
      </w:r>
    </w:p>
    <w:p w:rsidR="00C57D22" w:rsidRPr="006E4999" w:rsidRDefault="00C57D22" w:rsidP="00C57D22">
      <w:pPr>
        <w:pStyle w:val="ListParagraph"/>
        <w:numPr>
          <w:ilvl w:val="0"/>
          <w:numId w:val="7"/>
        </w:numPr>
        <w:jc w:val="both"/>
        <w:rPr>
          <w:rFonts w:ascii="Times New Roman" w:hAnsi="Times New Roman" w:cs="Times New Roman"/>
          <w:sz w:val="24"/>
          <w:szCs w:val="24"/>
        </w:rPr>
      </w:pPr>
      <w:r w:rsidRPr="006E4999">
        <w:rPr>
          <w:rFonts w:ascii="Times New Roman" w:hAnsi="Times New Roman" w:cs="Times New Roman"/>
          <w:sz w:val="24"/>
          <w:szCs w:val="24"/>
        </w:rPr>
        <w:t>Internal audit reports relating to internal control weaknesses; and</w:t>
      </w:r>
    </w:p>
    <w:p w:rsidR="00C57D22" w:rsidRPr="006E4999" w:rsidRDefault="00C57D22" w:rsidP="00C57D22">
      <w:pPr>
        <w:pStyle w:val="ListParagraph"/>
        <w:numPr>
          <w:ilvl w:val="0"/>
          <w:numId w:val="7"/>
        </w:numPr>
        <w:jc w:val="both"/>
        <w:rPr>
          <w:rFonts w:ascii="Times New Roman" w:hAnsi="Times New Roman" w:cs="Times New Roman"/>
          <w:sz w:val="24"/>
          <w:szCs w:val="24"/>
        </w:rPr>
      </w:pPr>
      <w:r w:rsidRPr="006E4999">
        <w:rPr>
          <w:rFonts w:ascii="Times New Roman" w:hAnsi="Times New Roman" w:cs="Times New Roman"/>
          <w:sz w:val="24"/>
          <w:szCs w:val="24"/>
        </w:rPr>
        <w:t>The appointment, removal, and terms of remuneration of the Chief Internal Auditor if any shall be subject to review by the Audit Committee.</w:t>
      </w:r>
    </w:p>
    <w:p w:rsidR="00C57D22" w:rsidRPr="006E4999" w:rsidRDefault="00C57D22" w:rsidP="00C57D22">
      <w:pPr>
        <w:pStyle w:val="ListParagraph"/>
        <w:numPr>
          <w:ilvl w:val="0"/>
          <w:numId w:val="7"/>
        </w:numPr>
        <w:jc w:val="both"/>
        <w:rPr>
          <w:rFonts w:ascii="Times New Roman" w:hAnsi="Times New Roman" w:cs="Times New Roman"/>
          <w:sz w:val="24"/>
          <w:szCs w:val="24"/>
        </w:rPr>
      </w:pPr>
      <w:r w:rsidRPr="006E4999">
        <w:rPr>
          <w:rFonts w:ascii="Times New Roman" w:hAnsi="Times New Roman" w:cs="Times New Roman"/>
          <w:sz w:val="24"/>
          <w:szCs w:val="24"/>
        </w:rPr>
        <w:lastRenderedPageBreak/>
        <w:t>Statement of deviations:</w:t>
      </w:r>
    </w:p>
    <w:p w:rsidR="00C57D22" w:rsidRPr="006E4999" w:rsidRDefault="00C57D22" w:rsidP="00C57D22">
      <w:pPr>
        <w:pStyle w:val="ListParagraph"/>
        <w:ind w:left="360"/>
        <w:jc w:val="both"/>
        <w:rPr>
          <w:rFonts w:ascii="Times New Roman" w:hAnsi="Times New Roman" w:cs="Times New Roman"/>
          <w:sz w:val="24"/>
          <w:szCs w:val="24"/>
        </w:rPr>
      </w:pPr>
    </w:p>
    <w:p w:rsidR="00C57D22" w:rsidRPr="006E4999" w:rsidRDefault="00C57D22" w:rsidP="00C57D22">
      <w:pPr>
        <w:pStyle w:val="ListParagraph"/>
        <w:numPr>
          <w:ilvl w:val="1"/>
          <w:numId w:val="7"/>
        </w:numPr>
        <w:jc w:val="both"/>
        <w:rPr>
          <w:rFonts w:ascii="Times New Roman" w:hAnsi="Times New Roman" w:cs="Times New Roman"/>
          <w:sz w:val="24"/>
          <w:szCs w:val="24"/>
        </w:rPr>
      </w:pPr>
      <w:r w:rsidRPr="006E4999">
        <w:rPr>
          <w:rFonts w:ascii="Times New Roman" w:hAnsi="Times New Roman" w:cs="Times New Roman"/>
          <w:sz w:val="24"/>
          <w:szCs w:val="24"/>
        </w:rPr>
        <w:t>Quarterly statement of deviation(s), submitted to stock exchange(s) in terms of Regulation 32(1) of the Securities and Exchange Board of India (Listing Obligations and Disclosure Requirements) Regulations, 2015, as amended from time to time.</w:t>
      </w:r>
    </w:p>
    <w:p w:rsidR="00C57D22" w:rsidRPr="006E4999" w:rsidRDefault="00C57D22" w:rsidP="00C57D22">
      <w:pPr>
        <w:pStyle w:val="ListParagraph"/>
        <w:numPr>
          <w:ilvl w:val="1"/>
          <w:numId w:val="7"/>
        </w:numPr>
        <w:jc w:val="both"/>
        <w:rPr>
          <w:rFonts w:ascii="Times New Roman" w:hAnsi="Times New Roman" w:cs="Times New Roman"/>
          <w:sz w:val="24"/>
          <w:szCs w:val="24"/>
        </w:rPr>
      </w:pPr>
      <w:r w:rsidRPr="006E4999">
        <w:rPr>
          <w:rFonts w:ascii="Times New Roman" w:hAnsi="Times New Roman" w:cs="Times New Roman"/>
          <w:sz w:val="24"/>
          <w:szCs w:val="24"/>
        </w:rPr>
        <w:t>Annual statement of funds utilized for purposes other than those stated in the offer document/prospectus/notice in terms of Regulation 32(5) of the Securities and Exchange Board of India (Listing Obligations and Disclosure Requirements) Regulations, 2015, as amended from time to time.</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pStyle w:val="ListParagraph"/>
        <w:numPr>
          <w:ilvl w:val="0"/>
          <w:numId w:val="2"/>
        </w:numPr>
        <w:jc w:val="both"/>
        <w:rPr>
          <w:rFonts w:ascii="Times New Roman" w:hAnsi="Times New Roman" w:cs="Times New Roman"/>
          <w:b/>
          <w:bCs/>
          <w:i/>
          <w:iCs/>
          <w:sz w:val="24"/>
          <w:szCs w:val="24"/>
        </w:rPr>
      </w:pPr>
      <w:r w:rsidRPr="006E4999">
        <w:rPr>
          <w:rFonts w:ascii="Times New Roman" w:hAnsi="Times New Roman" w:cs="Times New Roman"/>
          <w:b/>
          <w:bCs/>
          <w:i/>
          <w:iCs/>
          <w:sz w:val="24"/>
          <w:szCs w:val="24"/>
        </w:rPr>
        <w:t xml:space="preserve">Asset Liability Management Committee </w:t>
      </w:r>
    </w:p>
    <w:p w:rsidR="00C57D22" w:rsidRPr="006E4999" w:rsidRDefault="00C57D22" w:rsidP="00C57D22">
      <w:pPr>
        <w:pStyle w:val="ListParagraph"/>
        <w:ind w:left="360"/>
        <w:jc w:val="both"/>
        <w:rPr>
          <w:rFonts w:ascii="Times New Roman" w:hAnsi="Times New Roman" w:cs="Times New Roman"/>
          <w:b/>
          <w:bCs/>
          <w:i/>
          <w:iCs/>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 xml:space="preserve">The Asset Liability Management Committee was constituted by the Board of Directors through its resolution dated July 09, 2011. The Asset Liability Management Committee was last reconstituted on October 06, 2025, and it currently comprises the following: </w:t>
      </w:r>
    </w:p>
    <w:p w:rsidR="00C57D22" w:rsidRPr="006E4999" w:rsidRDefault="00C57D22" w:rsidP="00C57D22">
      <w:pPr>
        <w:pStyle w:val="ListParagraph"/>
        <w:numPr>
          <w:ilvl w:val="0"/>
          <w:numId w:val="8"/>
        </w:numPr>
        <w:jc w:val="both"/>
        <w:rPr>
          <w:rFonts w:ascii="Times New Roman" w:hAnsi="Times New Roman" w:cs="Times New Roman"/>
          <w:sz w:val="24"/>
          <w:szCs w:val="24"/>
        </w:rPr>
      </w:pPr>
      <w:bookmarkStart w:id="1" w:name="_Hlk210821552"/>
      <w:r w:rsidRPr="006E4999">
        <w:rPr>
          <w:rFonts w:ascii="Times New Roman" w:hAnsi="Times New Roman" w:cs="Times New Roman"/>
          <w:sz w:val="24"/>
          <w:szCs w:val="24"/>
        </w:rPr>
        <w:t xml:space="preserve">Mathew K. Cherian </w:t>
      </w:r>
    </w:p>
    <w:p w:rsidR="00C57D22" w:rsidRPr="006E4999" w:rsidRDefault="00C57D22" w:rsidP="00C57D22">
      <w:pPr>
        <w:pStyle w:val="ListParagraph"/>
        <w:numPr>
          <w:ilvl w:val="0"/>
          <w:numId w:val="8"/>
        </w:numPr>
        <w:jc w:val="both"/>
        <w:rPr>
          <w:rFonts w:ascii="Times New Roman" w:hAnsi="Times New Roman" w:cs="Times New Roman"/>
          <w:sz w:val="24"/>
          <w:szCs w:val="24"/>
        </w:rPr>
      </w:pPr>
      <w:r w:rsidRPr="006E4999">
        <w:rPr>
          <w:rFonts w:ascii="Times New Roman" w:hAnsi="Times New Roman" w:cs="Times New Roman"/>
          <w:sz w:val="24"/>
          <w:szCs w:val="24"/>
        </w:rPr>
        <w:t>Laila Mathew</w:t>
      </w:r>
    </w:p>
    <w:p w:rsidR="00C57D22" w:rsidRPr="006E4999" w:rsidRDefault="00C57D22" w:rsidP="00C57D22">
      <w:pPr>
        <w:pStyle w:val="ListParagraph"/>
        <w:numPr>
          <w:ilvl w:val="0"/>
          <w:numId w:val="8"/>
        </w:numPr>
        <w:jc w:val="both"/>
        <w:rPr>
          <w:rFonts w:ascii="Times New Roman" w:hAnsi="Times New Roman" w:cs="Times New Roman"/>
          <w:sz w:val="24"/>
          <w:szCs w:val="24"/>
        </w:rPr>
      </w:pPr>
      <w:r w:rsidRPr="006E4999">
        <w:rPr>
          <w:rFonts w:ascii="Times New Roman" w:hAnsi="Times New Roman" w:cs="Times New Roman"/>
          <w:sz w:val="24"/>
          <w:szCs w:val="24"/>
        </w:rPr>
        <w:t xml:space="preserve">Sebastian Kurian </w:t>
      </w:r>
    </w:p>
    <w:p w:rsidR="00C57D22" w:rsidRPr="006E4999" w:rsidRDefault="00C57D22" w:rsidP="00C57D22">
      <w:pPr>
        <w:pStyle w:val="ListParagraph"/>
        <w:numPr>
          <w:ilvl w:val="0"/>
          <w:numId w:val="8"/>
        </w:numPr>
        <w:jc w:val="both"/>
        <w:rPr>
          <w:rFonts w:ascii="Times New Roman" w:hAnsi="Times New Roman" w:cs="Times New Roman"/>
          <w:sz w:val="24"/>
          <w:szCs w:val="24"/>
        </w:rPr>
      </w:pPr>
      <w:r w:rsidRPr="006E4999">
        <w:rPr>
          <w:rFonts w:ascii="Times New Roman" w:hAnsi="Times New Roman" w:cs="Times New Roman"/>
          <w:sz w:val="24"/>
          <w:szCs w:val="24"/>
        </w:rPr>
        <w:t>Saju John Varghese</w:t>
      </w:r>
    </w:p>
    <w:p w:rsidR="00C57D22" w:rsidRPr="006E4999" w:rsidRDefault="00C57D22" w:rsidP="00C57D22">
      <w:pPr>
        <w:pStyle w:val="ListParagraph"/>
        <w:numPr>
          <w:ilvl w:val="0"/>
          <w:numId w:val="8"/>
        </w:numPr>
        <w:jc w:val="both"/>
        <w:rPr>
          <w:rFonts w:ascii="Times New Roman" w:hAnsi="Times New Roman" w:cs="Times New Roman"/>
          <w:sz w:val="24"/>
          <w:szCs w:val="24"/>
        </w:rPr>
      </w:pPr>
      <w:r w:rsidRPr="006E4999">
        <w:rPr>
          <w:rFonts w:ascii="Times New Roman" w:hAnsi="Times New Roman" w:cs="Times New Roman"/>
          <w:sz w:val="24"/>
          <w:szCs w:val="24"/>
        </w:rPr>
        <w:t>George Thomas</w:t>
      </w:r>
    </w:p>
    <w:p w:rsidR="00C57D22" w:rsidRPr="006E4999" w:rsidRDefault="00C57D22" w:rsidP="00C57D22">
      <w:pPr>
        <w:pStyle w:val="ListParagraph"/>
        <w:numPr>
          <w:ilvl w:val="0"/>
          <w:numId w:val="8"/>
        </w:numPr>
        <w:jc w:val="both"/>
        <w:rPr>
          <w:rFonts w:ascii="Times New Roman" w:hAnsi="Times New Roman" w:cs="Times New Roman"/>
          <w:sz w:val="24"/>
          <w:szCs w:val="24"/>
        </w:rPr>
      </w:pPr>
      <w:proofErr w:type="spellStart"/>
      <w:r w:rsidRPr="006E4999">
        <w:rPr>
          <w:rFonts w:ascii="Times New Roman" w:hAnsi="Times New Roman" w:cs="Times New Roman"/>
          <w:sz w:val="24"/>
          <w:szCs w:val="24"/>
        </w:rPr>
        <w:t>Pinky</w:t>
      </w:r>
      <w:proofErr w:type="spellEnd"/>
      <w:r w:rsidRPr="006E4999">
        <w:rPr>
          <w:rFonts w:ascii="Times New Roman" w:hAnsi="Times New Roman" w:cs="Times New Roman"/>
          <w:sz w:val="24"/>
          <w:szCs w:val="24"/>
        </w:rPr>
        <w:t xml:space="preserve"> Somu Mathews</w:t>
      </w:r>
    </w:p>
    <w:p w:rsidR="00C57D22" w:rsidRPr="006E4999" w:rsidRDefault="00C57D22" w:rsidP="00C57D22">
      <w:pPr>
        <w:pStyle w:val="ListParagraph"/>
        <w:numPr>
          <w:ilvl w:val="0"/>
          <w:numId w:val="8"/>
        </w:numPr>
        <w:jc w:val="both"/>
        <w:rPr>
          <w:rFonts w:ascii="Times New Roman" w:hAnsi="Times New Roman" w:cs="Times New Roman"/>
          <w:sz w:val="24"/>
          <w:szCs w:val="24"/>
        </w:rPr>
      </w:pPr>
      <w:r w:rsidRPr="006E4999">
        <w:rPr>
          <w:rFonts w:ascii="Times New Roman" w:hAnsi="Times New Roman" w:cs="Times New Roman"/>
          <w:sz w:val="24"/>
          <w:szCs w:val="24"/>
        </w:rPr>
        <w:t xml:space="preserve"> </w:t>
      </w:r>
      <w:proofErr w:type="spellStart"/>
      <w:r w:rsidRPr="006E4999">
        <w:rPr>
          <w:rFonts w:ascii="Times New Roman" w:hAnsi="Times New Roman" w:cs="Times New Roman"/>
          <w:sz w:val="24"/>
          <w:szCs w:val="24"/>
        </w:rPr>
        <w:t>Korah</w:t>
      </w:r>
      <w:proofErr w:type="spellEnd"/>
      <w:r w:rsidRPr="006E4999">
        <w:rPr>
          <w:rFonts w:ascii="Times New Roman" w:hAnsi="Times New Roman" w:cs="Times New Roman"/>
          <w:sz w:val="24"/>
          <w:szCs w:val="24"/>
        </w:rPr>
        <w:t xml:space="preserve"> Elias </w:t>
      </w:r>
    </w:p>
    <w:bookmarkEnd w:id="1"/>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 xml:space="preserve">Asset Liability Management Committee shall be responsible for recommending to the Board prudent asset/liability management policies and procedures and shall have the following responsibilities: </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successful implementation of the risk management process;</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integration of basic operations and strategic decision making with risk management;</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overall responsibility for management of risks;</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deciding the risk management policy of the Company;</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(setting limits for liquidity, interest rate and equity price risks and shall be responsible for ensuring adherence to the limits set thereby;</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 xml:space="preserve">Deciding the business strategy of the Company (on the assets and liabilities side) in line with the Company's budget and decided risk management objectives. </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Articulating the current interest rate view of the NBFC and base its decisions for future business strategy on this view</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reviewing Interest rate forecasts and spreads for Company;</w:t>
      </w:r>
    </w:p>
    <w:p w:rsidR="00C57D22" w:rsidRPr="006E4999" w:rsidRDefault="00C57D22" w:rsidP="00C57D22">
      <w:pPr>
        <w:pStyle w:val="ListParagraph"/>
        <w:numPr>
          <w:ilvl w:val="0"/>
          <w:numId w:val="9"/>
        </w:numPr>
        <w:jc w:val="both"/>
        <w:rPr>
          <w:rFonts w:ascii="Times New Roman" w:hAnsi="Times New Roman" w:cs="Times New Roman"/>
          <w:sz w:val="24"/>
          <w:szCs w:val="24"/>
        </w:rPr>
      </w:pPr>
      <w:proofErr w:type="spellStart"/>
      <w:r w:rsidRPr="006E4999">
        <w:rPr>
          <w:rFonts w:ascii="Times New Roman" w:hAnsi="Times New Roman" w:cs="Times New Roman"/>
          <w:sz w:val="24"/>
          <w:szCs w:val="24"/>
        </w:rPr>
        <w:t>analyzing</w:t>
      </w:r>
      <w:proofErr w:type="spellEnd"/>
      <w:r w:rsidRPr="006E4999">
        <w:rPr>
          <w:rFonts w:ascii="Times New Roman" w:hAnsi="Times New Roman" w:cs="Times New Roman"/>
          <w:sz w:val="24"/>
          <w:szCs w:val="24"/>
        </w:rPr>
        <w:t>, monitoring, and reporting the risk profiles;</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responsible for balance sheet planning from risk-return perspective including the strategic management of interest rate and liquidity risks;</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review the results of and progress in implementation of the decisions made in the previous meetings</w:t>
      </w:r>
    </w:p>
    <w:p w:rsidR="00C57D22" w:rsidRPr="006E4999" w:rsidRDefault="00C57D22" w:rsidP="00C57D22">
      <w:pPr>
        <w:pStyle w:val="ListParagraph"/>
        <w:numPr>
          <w:ilvl w:val="0"/>
          <w:numId w:val="9"/>
        </w:numPr>
        <w:jc w:val="both"/>
        <w:rPr>
          <w:rFonts w:ascii="Times New Roman" w:hAnsi="Times New Roman" w:cs="Times New Roman"/>
          <w:sz w:val="24"/>
          <w:szCs w:val="24"/>
        </w:rPr>
      </w:pPr>
      <w:r w:rsidRPr="006E4999">
        <w:rPr>
          <w:rFonts w:ascii="Times New Roman" w:hAnsi="Times New Roman" w:cs="Times New Roman"/>
          <w:sz w:val="24"/>
          <w:szCs w:val="24"/>
        </w:rPr>
        <w:t xml:space="preserve">Asset Liability Management Committee shall consider, inter alia, shall include product pricing for both deposits and advances, desired maturity profile and mix of the incremental assets and liabilities, prevailing interest rates offered by other peer NBFCs for the similar services/product, etc. </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pStyle w:val="ListParagraph"/>
        <w:numPr>
          <w:ilvl w:val="0"/>
          <w:numId w:val="11"/>
        </w:numPr>
        <w:jc w:val="both"/>
        <w:rPr>
          <w:rFonts w:ascii="Times New Roman" w:hAnsi="Times New Roman" w:cs="Times New Roman"/>
          <w:sz w:val="24"/>
          <w:szCs w:val="24"/>
        </w:rPr>
      </w:pPr>
      <w:r w:rsidRPr="006E4999">
        <w:rPr>
          <w:rFonts w:ascii="Times New Roman" w:hAnsi="Times New Roman" w:cs="Times New Roman"/>
          <w:sz w:val="24"/>
          <w:szCs w:val="24"/>
        </w:rPr>
        <w:lastRenderedPageBreak/>
        <w:t>Asset Liability Management Process: the scope of Asset Liability Management Committee function can be described as follows: Liquidity risk management:</w:t>
      </w:r>
    </w:p>
    <w:p w:rsidR="00C57D22" w:rsidRPr="006E4999" w:rsidRDefault="00C57D22" w:rsidP="00C57D22">
      <w:pPr>
        <w:pStyle w:val="ListParagraph"/>
        <w:numPr>
          <w:ilvl w:val="0"/>
          <w:numId w:val="10"/>
        </w:numPr>
        <w:jc w:val="both"/>
        <w:rPr>
          <w:rFonts w:ascii="Times New Roman" w:hAnsi="Times New Roman" w:cs="Times New Roman"/>
          <w:sz w:val="24"/>
          <w:szCs w:val="24"/>
        </w:rPr>
      </w:pPr>
      <w:r w:rsidRPr="006E4999">
        <w:rPr>
          <w:rFonts w:ascii="Times New Roman" w:hAnsi="Times New Roman" w:cs="Times New Roman"/>
          <w:sz w:val="24"/>
          <w:szCs w:val="24"/>
        </w:rPr>
        <w:t xml:space="preserve">Management of market risks </w:t>
      </w:r>
    </w:p>
    <w:p w:rsidR="00C57D22" w:rsidRPr="006E4999" w:rsidRDefault="00C57D22" w:rsidP="00C57D22">
      <w:pPr>
        <w:pStyle w:val="ListParagraph"/>
        <w:numPr>
          <w:ilvl w:val="0"/>
          <w:numId w:val="10"/>
        </w:numPr>
        <w:jc w:val="both"/>
        <w:rPr>
          <w:rFonts w:ascii="Times New Roman" w:hAnsi="Times New Roman" w:cs="Times New Roman"/>
          <w:sz w:val="24"/>
          <w:szCs w:val="24"/>
        </w:rPr>
      </w:pPr>
      <w:r w:rsidRPr="006E4999">
        <w:rPr>
          <w:rFonts w:ascii="Times New Roman" w:hAnsi="Times New Roman" w:cs="Times New Roman"/>
          <w:sz w:val="24"/>
          <w:szCs w:val="24"/>
        </w:rPr>
        <w:t xml:space="preserve">Funding and capital planning </w:t>
      </w:r>
    </w:p>
    <w:p w:rsidR="00C57D22" w:rsidRPr="006E4999" w:rsidRDefault="00C57D22" w:rsidP="00C57D22">
      <w:pPr>
        <w:pStyle w:val="ListParagraph"/>
        <w:numPr>
          <w:ilvl w:val="0"/>
          <w:numId w:val="10"/>
        </w:numPr>
        <w:jc w:val="both"/>
        <w:rPr>
          <w:rFonts w:ascii="Times New Roman" w:hAnsi="Times New Roman" w:cs="Times New Roman"/>
          <w:sz w:val="24"/>
          <w:szCs w:val="24"/>
        </w:rPr>
      </w:pPr>
      <w:r w:rsidRPr="006E4999">
        <w:rPr>
          <w:rFonts w:ascii="Times New Roman" w:hAnsi="Times New Roman" w:cs="Times New Roman"/>
          <w:sz w:val="24"/>
          <w:szCs w:val="24"/>
        </w:rPr>
        <w:t xml:space="preserve">Profit planning and growth projection. </w:t>
      </w:r>
    </w:p>
    <w:p w:rsidR="00C57D22" w:rsidRPr="006E4999" w:rsidRDefault="00C57D22" w:rsidP="00C57D22">
      <w:pPr>
        <w:pStyle w:val="ListParagraph"/>
        <w:numPr>
          <w:ilvl w:val="0"/>
          <w:numId w:val="10"/>
        </w:numPr>
        <w:jc w:val="both"/>
        <w:rPr>
          <w:rFonts w:ascii="Times New Roman" w:hAnsi="Times New Roman" w:cs="Times New Roman"/>
          <w:sz w:val="24"/>
          <w:szCs w:val="24"/>
        </w:rPr>
      </w:pPr>
      <w:r w:rsidRPr="006E4999">
        <w:rPr>
          <w:rFonts w:ascii="Times New Roman" w:hAnsi="Times New Roman" w:cs="Times New Roman"/>
          <w:sz w:val="24"/>
          <w:szCs w:val="24"/>
        </w:rPr>
        <w:t xml:space="preserve">Forecasting and </w:t>
      </w:r>
      <w:proofErr w:type="spellStart"/>
      <w:r w:rsidRPr="006E4999">
        <w:rPr>
          <w:rFonts w:ascii="Times New Roman" w:hAnsi="Times New Roman" w:cs="Times New Roman"/>
          <w:sz w:val="24"/>
          <w:szCs w:val="24"/>
        </w:rPr>
        <w:t>analyzing</w:t>
      </w:r>
      <w:proofErr w:type="spellEnd"/>
      <w:r w:rsidRPr="006E4999">
        <w:rPr>
          <w:rFonts w:ascii="Times New Roman" w:hAnsi="Times New Roman" w:cs="Times New Roman"/>
          <w:sz w:val="24"/>
          <w:szCs w:val="24"/>
        </w:rPr>
        <w:t xml:space="preserve"> 'What if scenario' and preparation of contingency plans. </w:t>
      </w:r>
    </w:p>
    <w:p w:rsidR="00C57D22" w:rsidRPr="006E4999" w:rsidRDefault="00C57D22" w:rsidP="00C57D22">
      <w:pPr>
        <w:jc w:val="both"/>
        <w:rPr>
          <w:rFonts w:ascii="Times New Roman" w:hAnsi="Times New Roman" w:cs="Times New Roman"/>
          <w:sz w:val="24"/>
          <w:szCs w:val="24"/>
        </w:rPr>
      </w:pPr>
    </w:p>
    <w:p w:rsidR="00C57D22"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 xml:space="preserve">Any other power, role and terms of references as may be stipulated under Master Direction - Non-Banking Financial Company - Systemically Important Non-Deposit Taking Company and Deposit taking Company (Reserve Bank) Directions, 2016. </w:t>
      </w:r>
    </w:p>
    <w:p w:rsidR="006E4999" w:rsidRPr="006E4999" w:rsidRDefault="006E4999" w:rsidP="006E4999">
      <w:pPr>
        <w:spacing w:after="0"/>
        <w:jc w:val="both"/>
        <w:rPr>
          <w:rFonts w:ascii="Times New Roman" w:hAnsi="Times New Roman" w:cs="Times New Roman"/>
          <w:sz w:val="24"/>
          <w:szCs w:val="24"/>
        </w:rPr>
      </w:pPr>
    </w:p>
    <w:p w:rsidR="00C57D22" w:rsidRDefault="00C57D22" w:rsidP="00C57D22">
      <w:pPr>
        <w:pStyle w:val="ListParagraph"/>
        <w:numPr>
          <w:ilvl w:val="0"/>
          <w:numId w:val="2"/>
        </w:numPr>
        <w:jc w:val="both"/>
        <w:rPr>
          <w:rFonts w:ascii="Times New Roman" w:hAnsi="Times New Roman" w:cs="Times New Roman"/>
          <w:b/>
          <w:bCs/>
          <w:i/>
          <w:iCs/>
          <w:sz w:val="24"/>
          <w:szCs w:val="24"/>
        </w:rPr>
      </w:pPr>
      <w:r w:rsidRPr="006E4999">
        <w:rPr>
          <w:rFonts w:ascii="Times New Roman" w:hAnsi="Times New Roman" w:cs="Times New Roman"/>
          <w:b/>
          <w:bCs/>
          <w:i/>
          <w:iCs/>
          <w:sz w:val="24"/>
          <w:szCs w:val="24"/>
        </w:rPr>
        <w:t xml:space="preserve">Risk Management Committee </w:t>
      </w:r>
    </w:p>
    <w:p w:rsidR="006E4999" w:rsidRPr="006E4999" w:rsidRDefault="006E4999" w:rsidP="006E4999">
      <w:pPr>
        <w:pStyle w:val="ListParagraph"/>
        <w:ind w:left="360"/>
        <w:jc w:val="both"/>
        <w:rPr>
          <w:rFonts w:ascii="Times New Roman" w:hAnsi="Times New Roman" w:cs="Times New Roman"/>
          <w:b/>
          <w:bCs/>
          <w:i/>
          <w:iCs/>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Risk Management Committee was constituted by the Board of Directors through its resolution dated July 09, 2011. The Risk Management Committee was last reconstituted on May 21, 2024.</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Risk Management Committee currently consists of the following persons:</w:t>
      </w:r>
    </w:p>
    <w:p w:rsidR="00C57D22" w:rsidRPr="006E4999" w:rsidRDefault="00C57D22" w:rsidP="00C57D22">
      <w:pPr>
        <w:pStyle w:val="ListParagraph"/>
        <w:numPr>
          <w:ilvl w:val="0"/>
          <w:numId w:val="12"/>
        </w:numPr>
        <w:jc w:val="both"/>
        <w:rPr>
          <w:rFonts w:ascii="Times New Roman" w:hAnsi="Times New Roman" w:cs="Times New Roman"/>
          <w:sz w:val="24"/>
          <w:szCs w:val="24"/>
        </w:rPr>
      </w:pPr>
      <w:r w:rsidRPr="006E4999">
        <w:rPr>
          <w:rFonts w:ascii="Times New Roman" w:hAnsi="Times New Roman" w:cs="Times New Roman"/>
          <w:sz w:val="24"/>
          <w:szCs w:val="24"/>
        </w:rPr>
        <w:t>Mathew K. Cherian</w:t>
      </w:r>
    </w:p>
    <w:p w:rsidR="00C57D22" w:rsidRPr="006E4999" w:rsidRDefault="00C57D22" w:rsidP="00C57D22">
      <w:pPr>
        <w:pStyle w:val="ListParagraph"/>
        <w:numPr>
          <w:ilvl w:val="0"/>
          <w:numId w:val="12"/>
        </w:numPr>
        <w:jc w:val="both"/>
        <w:rPr>
          <w:rFonts w:ascii="Times New Roman" w:hAnsi="Times New Roman" w:cs="Times New Roman"/>
          <w:sz w:val="24"/>
          <w:szCs w:val="24"/>
        </w:rPr>
      </w:pPr>
      <w:r w:rsidRPr="006E4999">
        <w:rPr>
          <w:rFonts w:ascii="Times New Roman" w:hAnsi="Times New Roman" w:cs="Times New Roman"/>
          <w:sz w:val="24"/>
          <w:szCs w:val="24"/>
        </w:rPr>
        <w:t>Laila Mathew</w:t>
      </w:r>
    </w:p>
    <w:p w:rsidR="00C57D22" w:rsidRPr="006E4999" w:rsidRDefault="00C57D22" w:rsidP="00C57D22">
      <w:pPr>
        <w:pStyle w:val="ListParagraph"/>
        <w:numPr>
          <w:ilvl w:val="0"/>
          <w:numId w:val="12"/>
        </w:numPr>
        <w:jc w:val="both"/>
        <w:rPr>
          <w:rFonts w:ascii="Times New Roman" w:hAnsi="Times New Roman" w:cs="Times New Roman"/>
          <w:sz w:val="24"/>
          <w:szCs w:val="24"/>
        </w:rPr>
      </w:pPr>
      <w:r w:rsidRPr="006E4999">
        <w:rPr>
          <w:rFonts w:ascii="Times New Roman" w:hAnsi="Times New Roman" w:cs="Times New Roman"/>
          <w:sz w:val="24"/>
          <w:szCs w:val="24"/>
        </w:rPr>
        <w:t xml:space="preserve">Sebastian Kurian </w:t>
      </w:r>
    </w:p>
    <w:p w:rsidR="00C57D22" w:rsidRPr="006E4999" w:rsidRDefault="00C57D22" w:rsidP="00C57D22">
      <w:pPr>
        <w:pStyle w:val="ListParagraph"/>
        <w:numPr>
          <w:ilvl w:val="0"/>
          <w:numId w:val="12"/>
        </w:numPr>
        <w:jc w:val="both"/>
        <w:rPr>
          <w:rFonts w:ascii="Times New Roman" w:hAnsi="Times New Roman" w:cs="Times New Roman"/>
          <w:sz w:val="24"/>
          <w:szCs w:val="24"/>
        </w:rPr>
      </w:pPr>
      <w:r w:rsidRPr="006E4999">
        <w:rPr>
          <w:rFonts w:ascii="Times New Roman" w:hAnsi="Times New Roman" w:cs="Times New Roman"/>
          <w:sz w:val="24"/>
          <w:szCs w:val="24"/>
        </w:rPr>
        <w:t>Arun Kumar (Chief Information Officer and Chief Risk Officer)</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i/>
          <w:iCs/>
          <w:sz w:val="24"/>
          <w:szCs w:val="24"/>
        </w:rPr>
      </w:pPr>
      <w:r w:rsidRPr="006E4999">
        <w:rPr>
          <w:rFonts w:ascii="Times New Roman" w:hAnsi="Times New Roman" w:cs="Times New Roman"/>
          <w:i/>
          <w:iCs/>
          <w:sz w:val="24"/>
          <w:szCs w:val="24"/>
        </w:rPr>
        <w:t xml:space="preserve">The terms of reference of the Risk Management Committee includes the following: </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Establishing the context of risks;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 xml:space="preserve">Identifying the risks; </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Assessing probability and possible consequences of the risks.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Developing strategies to mitigate these risks;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Monitoring and reviewing the outcomes;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Communicating and consulting with the parties involved;</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Risk committee performs centralised oversight and policy setting of risk management activities and to provide communication to the board of directors regarding important risks and related risk management activities;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The risk committee approves the design of the Company’s enterprise-wide risk management framework, including supporting methods, risk policies, risk inventories and the risk ranking methodology, as they relate IT and IT compliance risks;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The committee review and advise the board on the risk impact of strategic business decisions and assess strategic alignment with the Company’s IT risk appetite;</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Review significant aggregate risk concentration and other escalations and approve significant corrective actions recommended by management;</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Report to the full Board / IT Steering Committee on the Company’s most significant risk, risk trends, as well as related risk response strategies and the performance of the Company’s risk management capabilities;</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Oversee the implementation of and adherence to corporate risk policies, processes, and other risk guidance;</w:t>
      </w:r>
    </w:p>
    <w:p w:rsidR="00C57D22" w:rsidRPr="006E4999" w:rsidRDefault="00C57D22" w:rsidP="00C57D22">
      <w:pPr>
        <w:pStyle w:val="ListParagraph"/>
        <w:numPr>
          <w:ilvl w:val="0"/>
          <w:numId w:val="13"/>
        </w:numPr>
        <w:jc w:val="both"/>
        <w:rPr>
          <w:rFonts w:ascii="Times New Roman" w:hAnsi="Times New Roman" w:cs="Times New Roman"/>
          <w:sz w:val="24"/>
          <w:szCs w:val="24"/>
        </w:rPr>
      </w:pPr>
      <w:r w:rsidRPr="006E4999">
        <w:rPr>
          <w:rFonts w:ascii="Times New Roman" w:hAnsi="Times New Roman" w:cs="Times New Roman"/>
          <w:sz w:val="24"/>
          <w:szCs w:val="24"/>
        </w:rPr>
        <w:t>Frequent review of risk assessment.</w:t>
      </w:r>
    </w:p>
    <w:p w:rsidR="00C57D22" w:rsidRPr="006E4999" w:rsidRDefault="00C57D22" w:rsidP="00C57D22">
      <w:pPr>
        <w:jc w:val="both"/>
        <w:rPr>
          <w:rFonts w:ascii="Times New Roman" w:hAnsi="Times New Roman" w:cs="Times New Roman"/>
          <w:sz w:val="24"/>
          <w:szCs w:val="24"/>
        </w:rPr>
      </w:pPr>
    </w:p>
    <w:p w:rsidR="00C57D22" w:rsidRDefault="00C57D22" w:rsidP="00C57D22">
      <w:pPr>
        <w:pStyle w:val="ListParagraph"/>
        <w:numPr>
          <w:ilvl w:val="0"/>
          <w:numId w:val="2"/>
        </w:numPr>
        <w:jc w:val="both"/>
        <w:rPr>
          <w:rFonts w:ascii="Times New Roman" w:hAnsi="Times New Roman" w:cs="Times New Roman"/>
          <w:b/>
          <w:bCs/>
          <w:i/>
          <w:iCs/>
          <w:sz w:val="24"/>
          <w:szCs w:val="24"/>
        </w:rPr>
      </w:pPr>
      <w:r w:rsidRPr="006E4999">
        <w:rPr>
          <w:rFonts w:ascii="Times New Roman" w:hAnsi="Times New Roman" w:cs="Times New Roman"/>
          <w:b/>
          <w:bCs/>
          <w:i/>
          <w:iCs/>
          <w:sz w:val="24"/>
          <w:szCs w:val="24"/>
        </w:rPr>
        <w:t xml:space="preserve">Nomination &amp; Remuneration Committee </w:t>
      </w:r>
    </w:p>
    <w:p w:rsidR="006E4999" w:rsidRPr="006E4999" w:rsidRDefault="006E4999" w:rsidP="006E4999">
      <w:pPr>
        <w:pStyle w:val="ListParagraph"/>
        <w:ind w:left="360"/>
        <w:jc w:val="both"/>
        <w:rPr>
          <w:rFonts w:ascii="Times New Roman" w:hAnsi="Times New Roman" w:cs="Times New Roman"/>
          <w:b/>
          <w:bCs/>
          <w:i/>
          <w:iCs/>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Nomination &amp; Remuneration Committee was constituted by a board resolution dated January 09, 2012. The Nomination &amp; Remuneration Committee was last reconstituted on May 24, 2025 and it currently comprises the following Directors:</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Committee currently comprises:</w:t>
      </w:r>
    </w:p>
    <w:p w:rsidR="00C57D22" w:rsidRPr="006E4999" w:rsidRDefault="00C57D22" w:rsidP="00C57D22">
      <w:pPr>
        <w:pStyle w:val="ListParagraph"/>
        <w:numPr>
          <w:ilvl w:val="0"/>
          <w:numId w:val="14"/>
        </w:numPr>
        <w:jc w:val="both"/>
        <w:rPr>
          <w:rFonts w:ascii="Times New Roman" w:hAnsi="Times New Roman" w:cs="Times New Roman"/>
          <w:sz w:val="24"/>
          <w:szCs w:val="24"/>
        </w:rPr>
      </w:pPr>
      <w:r w:rsidRPr="006E4999">
        <w:rPr>
          <w:rFonts w:ascii="Times New Roman" w:hAnsi="Times New Roman" w:cs="Times New Roman"/>
          <w:sz w:val="24"/>
          <w:szCs w:val="24"/>
        </w:rPr>
        <w:t>Sebastian Kurian</w:t>
      </w:r>
    </w:p>
    <w:p w:rsidR="00C57D22" w:rsidRPr="006E4999" w:rsidRDefault="00C57D22" w:rsidP="00C57D22">
      <w:pPr>
        <w:pStyle w:val="ListParagraph"/>
        <w:numPr>
          <w:ilvl w:val="0"/>
          <w:numId w:val="14"/>
        </w:numPr>
        <w:jc w:val="both"/>
        <w:rPr>
          <w:rFonts w:ascii="Times New Roman" w:hAnsi="Times New Roman" w:cs="Times New Roman"/>
          <w:sz w:val="24"/>
          <w:szCs w:val="24"/>
        </w:rPr>
      </w:pPr>
      <w:proofErr w:type="spellStart"/>
      <w:r w:rsidRPr="006E4999">
        <w:rPr>
          <w:rFonts w:ascii="Times New Roman" w:hAnsi="Times New Roman" w:cs="Times New Roman"/>
          <w:sz w:val="24"/>
          <w:szCs w:val="24"/>
        </w:rPr>
        <w:t>Josy</w:t>
      </w:r>
      <w:proofErr w:type="spellEnd"/>
      <w:r w:rsidRPr="006E4999">
        <w:rPr>
          <w:rFonts w:ascii="Times New Roman" w:hAnsi="Times New Roman" w:cs="Times New Roman"/>
          <w:sz w:val="24"/>
          <w:szCs w:val="24"/>
        </w:rPr>
        <w:t xml:space="preserve"> Thomas</w:t>
      </w:r>
    </w:p>
    <w:p w:rsidR="00C57D22" w:rsidRPr="006E4999" w:rsidRDefault="00C57D22" w:rsidP="00C57D22">
      <w:pPr>
        <w:pStyle w:val="ListParagraph"/>
        <w:numPr>
          <w:ilvl w:val="0"/>
          <w:numId w:val="14"/>
        </w:numPr>
        <w:rPr>
          <w:rFonts w:ascii="Times New Roman" w:hAnsi="Times New Roman" w:cs="Times New Roman"/>
          <w:sz w:val="24"/>
          <w:szCs w:val="24"/>
        </w:rPr>
      </w:pPr>
      <w:r w:rsidRPr="006E4999">
        <w:rPr>
          <w:rFonts w:ascii="Times New Roman" w:hAnsi="Times New Roman" w:cs="Times New Roman"/>
          <w:sz w:val="24"/>
          <w:szCs w:val="24"/>
        </w:rPr>
        <w:t>Davis George</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scope and function of the Nomination and Remuneration committee is in accordance with Section 178 of the Companies Act and its terms of reference are as follows:</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Terms of reference of the Nomination Committee includes the following:</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Formulation of the criteria for determining qualifications, positive attributes and independence of a director and recommend to the Board a policy relating to the remuneration of the directors, key managerial personnel and other employees;</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 xml:space="preserve">Formulation of criteria for evaluation of independent directors and the Board; </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 xml:space="preserve">Devising a policy on Board diversity; </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 xml:space="preserve">Identifying persons who are qualified to become directors and who may be appointed in senior management in accordance with the criteria laid down, and recommend to the Board their appointment and removal; </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Whether to extend or continue the term of appointment of the independent director, on the basis of the report of performance evaluation of independent directors;</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Recommending to the Board, all remuneration, in whatever form, payable to senior management of the Company;</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Ensuring 'fit and proper' status of proposed/ existing Directors of the Company.</w:t>
      </w:r>
    </w:p>
    <w:p w:rsidR="00C57D22" w:rsidRP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Framing suitable policies and systems to ensure that there is no violation, by an employee of any applicable laws in India or overseas, including:</w:t>
      </w:r>
    </w:p>
    <w:p w:rsidR="00C57D22" w:rsidRPr="006E4999" w:rsidRDefault="00C57D22" w:rsidP="00C57D22">
      <w:pPr>
        <w:pStyle w:val="ListParagraph"/>
        <w:numPr>
          <w:ilvl w:val="0"/>
          <w:numId w:val="16"/>
        </w:numPr>
        <w:jc w:val="both"/>
        <w:rPr>
          <w:rFonts w:ascii="Times New Roman" w:hAnsi="Times New Roman" w:cs="Times New Roman"/>
          <w:sz w:val="24"/>
          <w:szCs w:val="24"/>
        </w:rPr>
      </w:pPr>
      <w:r w:rsidRPr="006E4999">
        <w:rPr>
          <w:rFonts w:ascii="Times New Roman" w:hAnsi="Times New Roman" w:cs="Times New Roman"/>
          <w:sz w:val="24"/>
          <w:szCs w:val="24"/>
        </w:rPr>
        <w:t>The Securities and Exchange Board of India (Prohibition of Insider Trading) Regulations, 2015 to the extent each is applicable; or</w:t>
      </w:r>
    </w:p>
    <w:p w:rsidR="00C57D22" w:rsidRPr="006E4999" w:rsidRDefault="00C57D22" w:rsidP="00C57D22">
      <w:pPr>
        <w:pStyle w:val="ListParagraph"/>
        <w:numPr>
          <w:ilvl w:val="0"/>
          <w:numId w:val="16"/>
        </w:numPr>
        <w:jc w:val="both"/>
        <w:rPr>
          <w:rFonts w:ascii="Times New Roman" w:hAnsi="Times New Roman" w:cs="Times New Roman"/>
          <w:sz w:val="24"/>
          <w:szCs w:val="24"/>
        </w:rPr>
      </w:pPr>
      <w:r w:rsidRPr="006E4999">
        <w:rPr>
          <w:rFonts w:ascii="Times New Roman" w:hAnsi="Times New Roman" w:cs="Times New Roman"/>
          <w:sz w:val="24"/>
          <w:szCs w:val="24"/>
        </w:rPr>
        <w:t>The Securities and Exchange Board of India (Prohibition of Fraudulent and Unfair Trade Practices relating to the Securities Market) Regulations, 2003.</w:t>
      </w:r>
    </w:p>
    <w:p w:rsidR="006E4999" w:rsidRDefault="00C57D22" w:rsidP="00C57D22">
      <w:pPr>
        <w:pStyle w:val="ListParagraph"/>
        <w:numPr>
          <w:ilvl w:val="0"/>
          <w:numId w:val="15"/>
        </w:numPr>
        <w:jc w:val="both"/>
        <w:rPr>
          <w:rFonts w:ascii="Times New Roman" w:hAnsi="Times New Roman" w:cs="Times New Roman"/>
          <w:sz w:val="24"/>
          <w:szCs w:val="24"/>
        </w:rPr>
      </w:pPr>
      <w:r w:rsidRPr="006E4999">
        <w:rPr>
          <w:rFonts w:ascii="Times New Roman" w:hAnsi="Times New Roman" w:cs="Times New Roman"/>
          <w:sz w:val="24"/>
          <w:szCs w:val="24"/>
        </w:rPr>
        <w:t>Performing such other activities as may be delegated by the Board of Directors and/or are statutorily prescribed under any law to be attended to by the Nomination and Remuneration Committee.”</w:t>
      </w:r>
    </w:p>
    <w:p w:rsidR="006E4999" w:rsidRPr="006E4999" w:rsidRDefault="006E4999" w:rsidP="006E4999">
      <w:pPr>
        <w:pStyle w:val="ListParagraph"/>
        <w:ind w:left="360"/>
        <w:jc w:val="both"/>
        <w:rPr>
          <w:rFonts w:ascii="Times New Roman" w:hAnsi="Times New Roman" w:cs="Times New Roman"/>
          <w:sz w:val="24"/>
          <w:szCs w:val="24"/>
        </w:rPr>
      </w:pPr>
    </w:p>
    <w:p w:rsidR="00C57D22" w:rsidRDefault="00C57D22" w:rsidP="00C57D22">
      <w:pPr>
        <w:pStyle w:val="ListParagraph"/>
        <w:numPr>
          <w:ilvl w:val="0"/>
          <w:numId w:val="2"/>
        </w:numPr>
        <w:jc w:val="both"/>
        <w:rPr>
          <w:rFonts w:ascii="Times New Roman" w:hAnsi="Times New Roman" w:cs="Times New Roman"/>
          <w:b/>
          <w:bCs/>
          <w:i/>
          <w:iCs/>
          <w:sz w:val="24"/>
          <w:szCs w:val="24"/>
        </w:rPr>
      </w:pPr>
      <w:r w:rsidRPr="006E4999">
        <w:rPr>
          <w:rFonts w:ascii="Times New Roman" w:hAnsi="Times New Roman" w:cs="Times New Roman"/>
          <w:b/>
          <w:bCs/>
          <w:i/>
          <w:iCs/>
          <w:sz w:val="24"/>
          <w:szCs w:val="24"/>
        </w:rPr>
        <w:t xml:space="preserve">Corporate Social Responsibility Committee </w:t>
      </w:r>
    </w:p>
    <w:p w:rsidR="006E4999" w:rsidRPr="006E4999" w:rsidRDefault="006E4999" w:rsidP="006E4999">
      <w:pPr>
        <w:pStyle w:val="ListParagraph"/>
        <w:ind w:left="360"/>
        <w:jc w:val="both"/>
        <w:rPr>
          <w:rFonts w:ascii="Times New Roman" w:hAnsi="Times New Roman" w:cs="Times New Roman"/>
          <w:b/>
          <w:bCs/>
          <w:i/>
          <w:iCs/>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Corporate Social Responsibility Committee was re-constituted by way of a board resolution dated May 21, 2024. The Corporate Social Responsibility Committee comprises of the following members:</w:t>
      </w:r>
    </w:p>
    <w:p w:rsidR="00C57D22" w:rsidRPr="006E4999" w:rsidRDefault="00C57D22" w:rsidP="00C57D22">
      <w:pPr>
        <w:pStyle w:val="ListParagraph"/>
        <w:numPr>
          <w:ilvl w:val="0"/>
          <w:numId w:val="17"/>
        </w:numPr>
        <w:jc w:val="both"/>
        <w:rPr>
          <w:rFonts w:ascii="Times New Roman" w:hAnsi="Times New Roman" w:cs="Times New Roman"/>
          <w:sz w:val="24"/>
          <w:szCs w:val="24"/>
        </w:rPr>
      </w:pPr>
      <w:r w:rsidRPr="006E4999">
        <w:rPr>
          <w:rFonts w:ascii="Times New Roman" w:hAnsi="Times New Roman" w:cs="Times New Roman"/>
          <w:sz w:val="24"/>
          <w:szCs w:val="24"/>
        </w:rPr>
        <w:t>Mathew K. Cherian</w:t>
      </w:r>
    </w:p>
    <w:p w:rsidR="00C57D22" w:rsidRPr="006E4999" w:rsidRDefault="00C57D22" w:rsidP="00C57D22">
      <w:pPr>
        <w:pStyle w:val="ListParagraph"/>
        <w:numPr>
          <w:ilvl w:val="0"/>
          <w:numId w:val="17"/>
        </w:numPr>
        <w:jc w:val="both"/>
        <w:rPr>
          <w:rFonts w:ascii="Times New Roman" w:hAnsi="Times New Roman" w:cs="Times New Roman"/>
          <w:sz w:val="24"/>
          <w:szCs w:val="24"/>
        </w:rPr>
      </w:pPr>
      <w:r w:rsidRPr="006E4999">
        <w:rPr>
          <w:rFonts w:ascii="Times New Roman" w:hAnsi="Times New Roman" w:cs="Times New Roman"/>
          <w:sz w:val="24"/>
          <w:szCs w:val="24"/>
        </w:rPr>
        <w:t>Laila Mathew</w:t>
      </w:r>
    </w:p>
    <w:p w:rsidR="00C57D22" w:rsidRPr="006E4999" w:rsidRDefault="00C57D22" w:rsidP="00C57D22">
      <w:pPr>
        <w:pStyle w:val="ListParagraph"/>
        <w:numPr>
          <w:ilvl w:val="0"/>
          <w:numId w:val="17"/>
        </w:numPr>
        <w:jc w:val="both"/>
        <w:rPr>
          <w:rFonts w:ascii="Times New Roman" w:hAnsi="Times New Roman" w:cs="Times New Roman"/>
          <w:sz w:val="24"/>
          <w:szCs w:val="24"/>
        </w:rPr>
      </w:pPr>
      <w:r w:rsidRPr="006E4999">
        <w:rPr>
          <w:rFonts w:ascii="Times New Roman" w:hAnsi="Times New Roman" w:cs="Times New Roman"/>
          <w:sz w:val="24"/>
          <w:szCs w:val="24"/>
        </w:rPr>
        <w:t xml:space="preserve">Sebastian Kurian </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scope and functions of the Corporate Social Responsibility Committee is in accordance with Section 135 of the Companies Act and its terms of reference are as follows:</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 xml:space="preserve">The terms of reference of Corporate Social Responsibility Committee includes the following: </w:t>
      </w:r>
    </w:p>
    <w:p w:rsidR="00C57D22" w:rsidRPr="006E4999" w:rsidRDefault="00C57D22" w:rsidP="00C57D22">
      <w:pPr>
        <w:pStyle w:val="ListParagraph"/>
        <w:numPr>
          <w:ilvl w:val="0"/>
          <w:numId w:val="18"/>
        </w:numPr>
        <w:jc w:val="both"/>
        <w:rPr>
          <w:rFonts w:ascii="Times New Roman" w:hAnsi="Times New Roman" w:cs="Times New Roman"/>
          <w:sz w:val="24"/>
          <w:szCs w:val="24"/>
        </w:rPr>
      </w:pPr>
      <w:r w:rsidRPr="006E4999">
        <w:rPr>
          <w:rFonts w:ascii="Times New Roman" w:hAnsi="Times New Roman" w:cs="Times New Roman"/>
          <w:sz w:val="24"/>
          <w:szCs w:val="24"/>
        </w:rPr>
        <w:t>To formulate and to recommend to the Board, a corporate social responsibility policy which shall indicate the activities to be undertaken by our Company as specified in Scheduled VII;</w:t>
      </w:r>
    </w:p>
    <w:p w:rsidR="00C57D22" w:rsidRPr="006E4999" w:rsidRDefault="00C57D22" w:rsidP="00C57D22">
      <w:pPr>
        <w:pStyle w:val="ListParagraph"/>
        <w:numPr>
          <w:ilvl w:val="0"/>
          <w:numId w:val="18"/>
        </w:numPr>
        <w:jc w:val="both"/>
        <w:rPr>
          <w:rFonts w:ascii="Times New Roman" w:hAnsi="Times New Roman" w:cs="Times New Roman"/>
          <w:sz w:val="24"/>
          <w:szCs w:val="24"/>
        </w:rPr>
      </w:pPr>
      <w:r w:rsidRPr="006E4999">
        <w:rPr>
          <w:rFonts w:ascii="Times New Roman" w:hAnsi="Times New Roman" w:cs="Times New Roman"/>
          <w:sz w:val="24"/>
          <w:szCs w:val="24"/>
        </w:rPr>
        <w:t>Recommend the amount of expenditure to be incurred on the activities referred to in clause 1; and</w:t>
      </w:r>
    </w:p>
    <w:p w:rsidR="00C57D22" w:rsidRPr="006E4999" w:rsidRDefault="00C57D22" w:rsidP="00C57D22">
      <w:pPr>
        <w:pStyle w:val="ListParagraph"/>
        <w:numPr>
          <w:ilvl w:val="0"/>
          <w:numId w:val="18"/>
        </w:numPr>
        <w:jc w:val="both"/>
        <w:rPr>
          <w:rFonts w:ascii="Times New Roman" w:hAnsi="Times New Roman" w:cs="Times New Roman"/>
          <w:sz w:val="24"/>
          <w:szCs w:val="24"/>
        </w:rPr>
      </w:pPr>
      <w:r w:rsidRPr="006E4999">
        <w:rPr>
          <w:rFonts w:ascii="Times New Roman" w:hAnsi="Times New Roman" w:cs="Times New Roman"/>
          <w:sz w:val="24"/>
          <w:szCs w:val="24"/>
        </w:rPr>
        <w:t>Monitor the Corporate Social Responsibility policy of our Company from time to time.</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pStyle w:val="ListParagraph"/>
        <w:numPr>
          <w:ilvl w:val="0"/>
          <w:numId w:val="2"/>
        </w:numPr>
        <w:jc w:val="both"/>
        <w:rPr>
          <w:rFonts w:ascii="Times New Roman" w:hAnsi="Times New Roman" w:cs="Times New Roman"/>
          <w:b/>
          <w:bCs/>
          <w:i/>
          <w:iCs/>
          <w:sz w:val="24"/>
          <w:szCs w:val="24"/>
        </w:rPr>
      </w:pPr>
      <w:r w:rsidRPr="006E4999">
        <w:rPr>
          <w:rFonts w:ascii="Times New Roman" w:hAnsi="Times New Roman" w:cs="Times New Roman"/>
          <w:b/>
          <w:bCs/>
          <w:i/>
          <w:iCs/>
          <w:sz w:val="24"/>
          <w:szCs w:val="24"/>
        </w:rPr>
        <w:t>Stakeholders Relationship Committee</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 xml:space="preserve">The Stakeholders Relationship Committee was re-constituted by a board resolution dated May 21, 2024. </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Committee currently comprises of the following members:</w:t>
      </w:r>
    </w:p>
    <w:p w:rsidR="00C57D22" w:rsidRPr="006E4999" w:rsidRDefault="00C57D22" w:rsidP="00C57D22">
      <w:pPr>
        <w:pStyle w:val="ListParagraph"/>
        <w:numPr>
          <w:ilvl w:val="0"/>
          <w:numId w:val="19"/>
        </w:numPr>
        <w:jc w:val="both"/>
        <w:rPr>
          <w:rFonts w:ascii="Times New Roman" w:hAnsi="Times New Roman" w:cs="Times New Roman"/>
          <w:sz w:val="24"/>
          <w:szCs w:val="24"/>
        </w:rPr>
      </w:pPr>
      <w:r w:rsidRPr="006E4999">
        <w:rPr>
          <w:rFonts w:ascii="Times New Roman" w:hAnsi="Times New Roman" w:cs="Times New Roman"/>
          <w:sz w:val="24"/>
          <w:szCs w:val="24"/>
        </w:rPr>
        <w:t>Mathew K. Cherian</w:t>
      </w:r>
    </w:p>
    <w:p w:rsidR="00C57D22" w:rsidRPr="006E4999" w:rsidRDefault="00C57D22" w:rsidP="00C57D22">
      <w:pPr>
        <w:pStyle w:val="ListParagraph"/>
        <w:numPr>
          <w:ilvl w:val="0"/>
          <w:numId w:val="19"/>
        </w:numPr>
        <w:jc w:val="both"/>
        <w:rPr>
          <w:rFonts w:ascii="Times New Roman" w:hAnsi="Times New Roman" w:cs="Times New Roman"/>
          <w:sz w:val="24"/>
          <w:szCs w:val="24"/>
        </w:rPr>
      </w:pPr>
      <w:r w:rsidRPr="006E4999">
        <w:rPr>
          <w:rFonts w:ascii="Times New Roman" w:hAnsi="Times New Roman" w:cs="Times New Roman"/>
          <w:sz w:val="24"/>
          <w:szCs w:val="24"/>
        </w:rPr>
        <w:t>Laila Mathew</w:t>
      </w:r>
    </w:p>
    <w:p w:rsidR="00C57D22" w:rsidRPr="006E4999" w:rsidRDefault="00C57D22" w:rsidP="00C57D22">
      <w:pPr>
        <w:pStyle w:val="ListParagraph"/>
        <w:numPr>
          <w:ilvl w:val="0"/>
          <w:numId w:val="19"/>
        </w:numPr>
        <w:jc w:val="both"/>
        <w:rPr>
          <w:rFonts w:ascii="Times New Roman" w:hAnsi="Times New Roman" w:cs="Times New Roman"/>
          <w:sz w:val="24"/>
          <w:szCs w:val="24"/>
        </w:rPr>
      </w:pPr>
      <w:r w:rsidRPr="006E4999">
        <w:rPr>
          <w:rFonts w:ascii="Times New Roman" w:hAnsi="Times New Roman" w:cs="Times New Roman"/>
          <w:sz w:val="24"/>
          <w:szCs w:val="24"/>
        </w:rPr>
        <w:t xml:space="preserve">Sebastian Kurian </w:t>
      </w:r>
    </w:p>
    <w:p w:rsidR="00C57D22" w:rsidRPr="006E4999" w:rsidRDefault="00C57D22" w:rsidP="00C57D22">
      <w:pPr>
        <w:jc w:val="both"/>
        <w:rPr>
          <w:rFonts w:ascii="Times New Roman" w:hAnsi="Times New Roman" w:cs="Times New Roman"/>
          <w:sz w:val="24"/>
          <w:szCs w:val="24"/>
        </w:rPr>
      </w:pP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scope and functions of the Stakeholders’ Relationship Committee are in accordance with Section 178 (6) of the Companies Act, 2013.</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 xml:space="preserve">Terms of Reference for the Stakeholders Relationship Committee: </w:t>
      </w:r>
    </w:p>
    <w:p w:rsidR="00C57D22" w:rsidRPr="006E4999" w:rsidRDefault="00C57D22" w:rsidP="00C57D22">
      <w:pPr>
        <w:jc w:val="both"/>
        <w:rPr>
          <w:rFonts w:ascii="Times New Roman" w:hAnsi="Times New Roman" w:cs="Times New Roman"/>
          <w:sz w:val="24"/>
          <w:szCs w:val="24"/>
        </w:rPr>
      </w:pPr>
      <w:r w:rsidRPr="006E4999">
        <w:rPr>
          <w:rFonts w:ascii="Times New Roman" w:hAnsi="Times New Roman" w:cs="Times New Roman"/>
          <w:sz w:val="24"/>
          <w:szCs w:val="24"/>
        </w:rPr>
        <w:t>The Stakeholders Relationship Committee shall be responsible for, among other things, as may be required by the stock exchanges from time to time, the following:</w:t>
      </w:r>
    </w:p>
    <w:p w:rsidR="00C57D22" w:rsidRPr="006E4999" w:rsidRDefault="00C57D22" w:rsidP="00C57D22">
      <w:pPr>
        <w:pStyle w:val="ListParagraph"/>
        <w:numPr>
          <w:ilvl w:val="0"/>
          <w:numId w:val="20"/>
        </w:numPr>
        <w:jc w:val="both"/>
        <w:rPr>
          <w:rFonts w:ascii="Times New Roman" w:hAnsi="Times New Roman" w:cs="Times New Roman"/>
          <w:sz w:val="24"/>
          <w:szCs w:val="24"/>
        </w:rPr>
      </w:pPr>
      <w:r w:rsidRPr="006E4999">
        <w:rPr>
          <w:rFonts w:ascii="Times New Roman" w:hAnsi="Times New Roman" w:cs="Times New Roman"/>
          <w:sz w:val="24"/>
          <w:szCs w:val="24"/>
        </w:rPr>
        <w:t>Resolving the grievances of the security holders of the Company including complaints related to transfer/transmission of shares, non-receipt of annual report, non-receipt of declared dividends, issue of new/duplicate certificates, general meetings etc.</w:t>
      </w:r>
    </w:p>
    <w:p w:rsidR="00C57D22" w:rsidRPr="006E4999" w:rsidRDefault="00C57D22" w:rsidP="00C57D22">
      <w:pPr>
        <w:pStyle w:val="ListParagraph"/>
        <w:numPr>
          <w:ilvl w:val="0"/>
          <w:numId w:val="20"/>
        </w:numPr>
        <w:jc w:val="both"/>
        <w:rPr>
          <w:rFonts w:ascii="Times New Roman" w:hAnsi="Times New Roman" w:cs="Times New Roman"/>
          <w:sz w:val="24"/>
          <w:szCs w:val="24"/>
        </w:rPr>
      </w:pPr>
      <w:r w:rsidRPr="006E4999">
        <w:rPr>
          <w:rFonts w:ascii="Times New Roman" w:hAnsi="Times New Roman" w:cs="Times New Roman"/>
          <w:sz w:val="24"/>
          <w:szCs w:val="24"/>
        </w:rPr>
        <w:t>Review of measures taken for effective exercise of voting rights by shareholders.</w:t>
      </w:r>
    </w:p>
    <w:p w:rsidR="00C57D22" w:rsidRPr="006E4999" w:rsidRDefault="00C57D22" w:rsidP="00C57D22">
      <w:pPr>
        <w:pStyle w:val="ListParagraph"/>
        <w:numPr>
          <w:ilvl w:val="0"/>
          <w:numId w:val="20"/>
        </w:numPr>
        <w:jc w:val="both"/>
        <w:rPr>
          <w:rFonts w:ascii="Times New Roman" w:hAnsi="Times New Roman" w:cs="Times New Roman"/>
          <w:sz w:val="24"/>
          <w:szCs w:val="24"/>
        </w:rPr>
      </w:pPr>
      <w:r w:rsidRPr="006E4999">
        <w:rPr>
          <w:rFonts w:ascii="Times New Roman" w:hAnsi="Times New Roman" w:cs="Times New Roman"/>
          <w:sz w:val="24"/>
          <w:szCs w:val="24"/>
        </w:rPr>
        <w:t>Review of adherence to the service standards adopted by the Company in respect of various services being rendered by the Registrar &amp; Share Transfer Agent.</w:t>
      </w:r>
    </w:p>
    <w:p w:rsidR="00C57D22" w:rsidRPr="006E4999" w:rsidRDefault="00C57D22" w:rsidP="00C57D22">
      <w:pPr>
        <w:pStyle w:val="ListParagraph"/>
        <w:numPr>
          <w:ilvl w:val="0"/>
          <w:numId w:val="20"/>
        </w:numPr>
        <w:jc w:val="both"/>
        <w:rPr>
          <w:rFonts w:ascii="Times New Roman" w:hAnsi="Times New Roman" w:cs="Times New Roman"/>
          <w:sz w:val="24"/>
          <w:szCs w:val="24"/>
        </w:rPr>
      </w:pPr>
      <w:r w:rsidRPr="006E4999">
        <w:rPr>
          <w:rFonts w:ascii="Times New Roman" w:hAnsi="Times New Roman" w:cs="Times New Roman"/>
          <w:sz w:val="24"/>
          <w:szCs w:val="24"/>
        </w:rPr>
        <w:t>Review of the various measures and initiatives taken by the Company for reducing the quantum of unclaimed dividends and ensuring timely receipt of dividend warrants/annual reports/statutory notices by the shareholders of the Company; and</w:t>
      </w:r>
    </w:p>
    <w:p w:rsidR="00C57D22" w:rsidRPr="006E4999" w:rsidRDefault="00C57D22" w:rsidP="00C57D22">
      <w:pPr>
        <w:pStyle w:val="ListParagraph"/>
        <w:numPr>
          <w:ilvl w:val="0"/>
          <w:numId w:val="20"/>
        </w:numPr>
        <w:jc w:val="both"/>
        <w:rPr>
          <w:rFonts w:ascii="Times New Roman" w:hAnsi="Times New Roman" w:cs="Times New Roman"/>
          <w:sz w:val="24"/>
          <w:szCs w:val="24"/>
        </w:rPr>
      </w:pPr>
      <w:r w:rsidRPr="006E4999">
        <w:rPr>
          <w:rFonts w:ascii="Times New Roman" w:hAnsi="Times New Roman" w:cs="Times New Roman"/>
          <w:sz w:val="24"/>
          <w:szCs w:val="24"/>
        </w:rPr>
        <w:t>Carrying out any other function contained in the Securities and Exchange Board of India (Listing Obligations and Disclosure Requirements) Regulations, 2015 as and when amended from time to time.</w:t>
      </w:r>
    </w:p>
    <w:p w:rsidR="006E4999" w:rsidRPr="006E4999" w:rsidRDefault="006E4999" w:rsidP="00C57D22">
      <w:pPr>
        <w:jc w:val="both"/>
        <w:rPr>
          <w:rFonts w:ascii="Times New Roman" w:hAnsi="Times New Roman" w:cs="Times New Roman"/>
          <w:sz w:val="24"/>
          <w:szCs w:val="24"/>
        </w:rPr>
      </w:pPr>
    </w:p>
    <w:p w:rsidR="00C57D22" w:rsidRPr="006E4999" w:rsidRDefault="00C57D22" w:rsidP="006E4999">
      <w:pPr>
        <w:pStyle w:val="ListParagraph"/>
        <w:numPr>
          <w:ilvl w:val="0"/>
          <w:numId w:val="2"/>
        </w:numPr>
        <w:ind w:left="284"/>
        <w:jc w:val="both"/>
        <w:rPr>
          <w:rFonts w:ascii="Times New Roman" w:hAnsi="Times New Roman" w:cs="Times New Roman"/>
          <w:b/>
          <w:bCs/>
          <w:i/>
          <w:iCs/>
          <w:sz w:val="24"/>
          <w:szCs w:val="24"/>
        </w:rPr>
      </w:pPr>
      <w:r w:rsidRPr="006E4999">
        <w:rPr>
          <w:rFonts w:ascii="Times New Roman" w:hAnsi="Times New Roman" w:cs="Times New Roman"/>
          <w:b/>
          <w:bCs/>
          <w:i/>
          <w:iCs/>
          <w:sz w:val="24"/>
          <w:szCs w:val="24"/>
        </w:rPr>
        <w:t xml:space="preserve">Borrowings, Debt &amp; Investment Strategy Committee </w:t>
      </w:r>
    </w:p>
    <w:p w:rsidR="00C57D22" w:rsidRPr="006E4999" w:rsidRDefault="00C57D22" w:rsidP="00C57D22">
      <w:pPr>
        <w:pStyle w:val="ListParagraph"/>
        <w:ind w:left="360"/>
        <w:jc w:val="both"/>
        <w:rPr>
          <w:rFonts w:ascii="Times New Roman" w:hAnsi="Times New Roman" w:cs="Times New Roman"/>
          <w:b/>
          <w:bCs/>
          <w:i/>
          <w:iCs/>
          <w:sz w:val="24"/>
          <w:szCs w:val="24"/>
        </w:rPr>
      </w:pPr>
    </w:p>
    <w:p w:rsidR="00C57D22" w:rsidRPr="006E4999" w:rsidRDefault="00C57D22" w:rsidP="006E4999">
      <w:pPr>
        <w:ind w:left="142"/>
        <w:jc w:val="both"/>
        <w:rPr>
          <w:rFonts w:ascii="Times New Roman" w:hAnsi="Times New Roman" w:cs="Times New Roman"/>
          <w:sz w:val="24"/>
          <w:szCs w:val="24"/>
        </w:rPr>
      </w:pPr>
      <w:r w:rsidRPr="006E4999">
        <w:rPr>
          <w:rFonts w:ascii="Times New Roman" w:hAnsi="Times New Roman" w:cs="Times New Roman"/>
          <w:sz w:val="24"/>
          <w:szCs w:val="24"/>
        </w:rPr>
        <w:t xml:space="preserve">The Borrowings, Debt &amp; Investment Strategy Committee was constituted by a board resolution dated September 04, 2025. </w:t>
      </w:r>
    </w:p>
    <w:p w:rsidR="00C57D22" w:rsidRPr="006E4999" w:rsidRDefault="00C57D22" w:rsidP="00C57D22">
      <w:pPr>
        <w:ind w:left="284"/>
        <w:jc w:val="both"/>
        <w:rPr>
          <w:rFonts w:ascii="Times New Roman" w:hAnsi="Times New Roman" w:cs="Times New Roman"/>
          <w:sz w:val="24"/>
          <w:szCs w:val="24"/>
        </w:rPr>
      </w:pPr>
      <w:r w:rsidRPr="006E4999">
        <w:rPr>
          <w:rFonts w:ascii="Times New Roman" w:hAnsi="Times New Roman" w:cs="Times New Roman"/>
          <w:sz w:val="24"/>
          <w:szCs w:val="24"/>
        </w:rPr>
        <w:lastRenderedPageBreak/>
        <w:t>The Committee currently comprises of the following members:</w:t>
      </w:r>
    </w:p>
    <w:p w:rsidR="00C57D22" w:rsidRPr="006E4999" w:rsidRDefault="00C57D22" w:rsidP="00C57D22">
      <w:pPr>
        <w:pStyle w:val="ListParagraph"/>
        <w:ind w:left="360"/>
        <w:jc w:val="both"/>
        <w:rPr>
          <w:rFonts w:ascii="Times New Roman" w:hAnsi="Times New Roman" w:cs="Times New Roman"/>
          <w:b/>
          <w:bCs/>
          <w:i/>
          <w:iCs/>
          <w:sz w:val="24"/>
          <w:szCs w:val="24"/>
        </w:rPr>
      </w:pPr>
    </w:p>
    <w:p w:rsidR="00C57D22" w:rsidRPr="006E4999" w:rsidRDefault="00C57D22" w:rsidP="00C57D22">
      <w:pPr>
        <w:pStyle w:val="ListParagraph"/>
        <w:numPr>
          <w:ilvl w:val="0"/>
          <w:numId w:val="21"/>
        </w:numPr>
        <w:ind w:left="709"/>
        <w:jc w:val="both"/>
        <w:rPr>
          <w:rFonts w:ascii="Times New Roman" w:hAnsi="Times New Roman" w:cs="Times New Roman"/>
          <w:sz w:val="24"/>
          <w:szCs w:val="24"/>
        </w:rPr>
      </w:pPr>
      <w:r w:rsidRPr="006E4999">
        <w:rPr>
          <w:rFonts w:ascii="Times New Roman" w:hAnsi="Times New Roman" w:cs="Times New Roman"/>
          <w:sz w:val="24"/>
          <w:szCs w:val="24"/>
        </w:rPr>
        <w:t>Mathew K Cherian</w:t>
      </w:r>
    </w:p>
    <w:p w:rsidR="00C57D22" w:rsidRPr="006E4999" w:rsidRDefault="00C57D22" w:rsidP="00C57D22">
      <w:pPr>
        <w:pStyle w:val="ListParagraph"/>
        <w:numPr>
          <w:ilvl w:val="0"/>
          <w:numId w:val="21"/>
        </w:numPr>
        <w:ind w:left="709"/>
        <w:jc w:val="both"/>
        <w:rPr>
          <w:rFonts w:ascii="Times New Roman" w:hAnsi="Times New Roman" w:cs="Times New Roman"/>
          <w:sz w:val="24"/>
          <w:szCs w:val="24"/>
        </w:rPr>
      </w:pPr>
      <w:r w:rsidRPr="006E4999">
        <w:rPr>
          <w:rFonts w:ascii="Times New Roman" w:hAnsi="Times New Roman" w:cs="Times New Roman"/>
          <w:sz w:val="24"/>
          <w:szCs w:val="24"/>
        </w:rPr>
        <w:t>Laila Mathew</w:t>
      </w:r>
    </w:p>
    <w:p w:rsidR="00C57D22" w:rsidRPr="006E4999" w:rsidRDefault="00C57D22" w:rsidP="00C57D22">
      <w:pPr>
        <w:pStyle w:val="ListParagraph"/>
        <w:numPr>
          <w:ilvl w:val="0"/>
          <w:numId w:val="21"/>
        </w:numPr>
        <w:ind w:left="709"/>
        <w:jc w:val="both"/>
        <w:rPr>
          <w:rFonts w:ascii="Times New Roman" w:hAnsi="Times New Roman" w:cs="Times New Roman"/>
          <w:sz w:val="24"/>
          <w:szCs w:val="24"/>
        </w:rPr>
      </w:pPr>
      <w:r w:rsidRPr="006E4999">
        <w:rPr>
          <w:rFonts w:ascii="Times New Roman" w:hAnsi="Times New Roman" w:cs="Times New Roman"/>
          <w:sz w:val="24"/>
          <w:szCs w:val="24"/>
        </w:rPr>
        <w:t>Sebastian Kurian</w:t>
      </w:r>
    </w:p>
    <w:p w:rsidR="00C57D22" w:rsidRPr="006E4999" w:rsidRDefault="00C57D22" w:rsidP="00C57D22">
      <w:pPr>
        <w:pStyle w:val="ListParagraph"/>
        <w:ind w:left="709"/>
        <w:jc w:val="both"/>
        <w:rPr>
          <w:rFonts w:ascii="Times New Roman" w:hAnsi="Times New Roman" w:cs="Times New Roman"/>
          <w:b/>
          <w:bCs/>
          <w:i/>
          <w:iCs/>
          <w:sz w:val="24"/>
          <w:szCs w:val="24"/>
        </w:rPr>
      </w:pPr>
    </w:p>
    <w:p w:rsidR="00C57D22" w:rsidRPr="006E4999" w:rsidRDefault="00C57D22" w:rsidP="006E4999">
      <w:pPr>
        <w:ind w:left="142"/>
        <w:jc w:val="both"/>
        <w:rPr>
          <w:rFonts w:ascii="Times New Roman" w:hAnsi="Times New Roman" w:cs="Times New Roman"/>
          <w:sz w:val="24"/>
          <w:szCs w:val="24"/>
        </w:rPr>
      </w:pPr>
      <w:r w:rsidRPr="006E4999">
        <w:rPr>
          <w:rFonts w:ascii="Times New Roman" w:hAnsi="Times New Roman" w:cs="Times New Roman"/>
          <w:sz w:val="24"/>
          <w:szCs w:val="24"/>
        </w:rPr>
        <w:t xml:space="preserve">The terms of reference of the Borrowings, Debt &amp; Investment Strategy Committee includes the following: </w:t>
      </w:r>
    </w:p>
    <w:p w:rsidR="00C57D22" w:rsidRPr="006E4999" w:rsidRDefault="00C57D22" w:rsidP="00C57D22">
      <w:pPr>
        <w:pStyle w:val="ListParagraph"/>
        <w:ind w:left="360"/>
        <w:jc w:val="both"/>
        <w:rPr>
          <w:rFonts w:ascii="Times New Roman" w:hAnsi="Times New Roman" w:cs="Times New Roman"/>
          <w:b/>
          <w:bCs/>
          <w:i/>
          <w:iCs/>
          <w:sz w:val="24"/>
          <w:szCs w:val="24"/>
        </w:rPr>
      </w:pP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determine, approve and change the terms, conditions, and number of debentures to be issued.</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decide the timing, nature, type, pricing, and all other terms and conditions of the issue of Non-Convertible Debentures and subordinated debt, including the coupon rate, minimum subscription, and retention of oversubscription, if any.</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approve and make changes to the draft prospectus, prospectus, general information document, key information document, and other offer documents.</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approve all such offer documents, including any corrigendum, amendments, or supplements thereto, and the issue thereof.</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issue and allot the Non-Convertible Debentures and subordinated debt, subject to the approval of the Board pursuant to Section 179 of the Companies Act, 2013, as applicable.</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approve all other matters relating to the issue of Non-Convertible Debentures and subordinated debt, subject to the approval of the Board pursuant to Section 179 of the Companies Act, 2013, if applicable.</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do all such acts, deeds, matters, and things, including the execution of all deeds, documents, instruments, applications, and writings, as it may, at its discretion, deem necessary and desirable for such purpose.</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To utilise the issue proceeds and to modify or alter any of the terms and conditions including the size of the issue, extension of the issue, or early closure of the issue as it may deem expedient.</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Oversee and review the Company's borrowing activities, including the approval and renewal of loan proposals up to the limit sanctioned by the shareholders from time to time pursuant to the Section 180 (l)(c) of the Companies Act, 2013, and the negotiate the respective loan agreements;</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 xml:space="preserve">Oversee and review the Company's investment activities, including the approval of investments and the monitoring of investment </w:t>
      </w:r>
      <w:proofErr w:type="spellStart"/>
      <w:r w:rsidRPr="006E4999">
        <w:rPr>
          <w:rFonts w:ascii="Times New Roman" w:hAnsi="Times New Roman" w:cs="Times New Roman"/>
          <w:sz w:val="24"/>
          <w:szCs w:val="24"/>
        </w:rPr>
        <w:t>perfomance</w:t>
      </w:r>
      <w:proofErr w:type="spellEnd"/>
      <w:r w:rsidRPr="006E4999">
        <w:rPr>
          <w:rFonts w:ascii="Times New Roman" w:hAnsi="Times New Roman" w:cs="Times New Roman"/>
          <w:sz w:val="24"/>
          <w:szCs w:val="24"/>
        </w:rPr>
        <w:t>;</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Perform such other duties and responsibilities as may be delegated to it by the Board from time to time.</w:t>
      </w:r>
    </w:p>
    <w:p w:rsidR="00C57D22" w:rsidRPr="006E4999" w:rsidRDefault="00C57D22" w:rsidP="00C57D22">
      <w:pPr>
        <w:pStyle w:val="ListParagraph"/>
        <w:numPr>
          <w:ilvl w:val="0"/>
          <w:numId w:val="22"/>
        </w:numPr>
        <w:ind w:left="284"/>
        <w:rPr>
          <w:rFonts w:ascii="Times New Roman" w:hAnsi="Times New Roman" w:cs="Times New Roman"/>
          <w:sz w:val="24"/>
          <w:szCs w:val="24"/>
        </w:rPr>
      </w:pPr>
      <w:r w:rsidRPr="006E4999">
        <w:rPr>
          <w:rFonts w:ascii="Times New Roman" w:hAnsi="Times New Roman" w:cs="Times New Roman"/>
          <w:sz w:val="24"/>
          <w:szCs w:val="24"/>
        </w:rPr>
        <w:t xml:space="preserve">Provide updates and communicate with relevant stakeholders, including the Board of Directors, on the progress of the debenture issue and any material events that occur. </w:t>
      </w:r>
    </w:p>
    <w:p w:rsidR="00C57D22" w:rsidRPr="006E4999" w:rsidRDefault="00C57D22" w:rsidP="00C57D22">
      <w:pPr>
        <w:pStyle w:val="ListParagraph"/>
        <w:widowControl w:val="0"/>
        <w:numPr>
          <w:ilvl w:val="0"/>
          <w:numId w:val="22"/>
        </w:numPr>
        <w:suppressAutoHyphens/>
        <w:ind w:left="284" w:right="141"/>
        <w:contextualSpacing w:val="0"/>
        <w:jc w:val="both"/>
        <w:rPr>
          <w:rFonts w:ascii="Times New Roman" w:hAnsi="Times New Roman" w:cs="Times New Roman"/>
          <w:sz w:val="24"/>
          <w:szCs w:val="24"/>
        </w:rPr>
      </w:pPr>
      <w:r w:rsidRPr="006E4999">
        <w:rPr>
          <w:rFonts w:ascii="Times New Roman" w:hAnsi="Times New Roman" w:cs="Times New Roman"/>
          <w:sz w:val="24"/>
          <w:szCs w:val="24"/>
        </w:rPr>
        <w:t>Approve borrowings up to the limit sanctioned by the shareholders from time to time pursuant to the Section 180(1)(c) of the Companies Act, 2013 and investments as directed by the Board from time to time.</w:t>
      </w:r>
    </w:p>
    <w:p w:rsidR="00C57D22" w:rsidRPr="006E4999" w:rsidRDefault="00C57D22" w:rsidP="00C57D22">
      <w:pPr>
        <w:pStyle w:val="ListParagraph"/>
        <w:widowControl w:val="0"/>
        <w:numPr>
          <w:ilvl w:val="0"/>
          <w:numId w:val="22"/>
        </w:numPr>
        <w:suppressAutoHyphens/>
        <w:ind w:left="284" w:right="141"/>
        <w:contextualSpacing w:val="0"/>
        <w:jc w:val="both"/>
        <w:rPr>
          <w:rFonts w:ascii="Times New Roman" w:hAnsi="Times New Roman" w:cs="Times New Roman"/>
          <w:sz w:val="24"/>
          <w:szCs w:val="24"/>
        </w:rPr>
      </w:pPr>
      <w:r w:rsidRPr="006E4999">
        <w:rPr>
          <w:rFonts w:ascii="Times New Roman" w:hAnsi="Times New Roman" w:cs="Times New Roman"/>
          <w:sz w:val="24"/>
          <w:szCs w:val="24"/>
        </w:rPr>
        <w:t>Enter into agreements and contracts on behalf of the Company in connection with the Company's borrowing and investment activities;</w:t>
      </w:r>
    </w:p>
    <w:p w:rsidR="00C57D22" w:rsidRPr="006E4999" w:rsidRDefault="00C57D22" w:rsidP="00C57D22">
      <w:pPr>
        <w:pStyle w:val="ListParagraph"/>
        <w:widowControl w:val="0"/>
        <w:numPr>
          <w:ilvl w:val="0"/>
          <w:numId w:val="22"/>
        </w:numPr>
        <w:suppressAutoHyphens/>
        <w:ind w:left="284"/>
        <w:contextualSpacing w:val="0"/>
        <w:jc w:val="both"/>
        <w:rPr>
          <w:rFonts w:ascii="Times New Roman" w:hAnsi="Times New Roman" w:cs="Times New Roman"/>
          <w:sz w:val="24"/>
          <w:szCs w:val="24"/>
        </w:rPr>
      </w:pPr>
      <w:r w:rsidRPr="006E4999">
        <w:rPr>
          <w:rFonts w:ascii="Times New Roman" w:hAnsi="Times New Roman" w:cs="Times New Roman"/>
          <w:sz w:val="24"/>
          <w:szCs w:val="24"/>
        </w:rPr>
        <w:t xml:space="preserve">Shall review and approve all activities related to borrowings and investments </w:t>
      </w:r>
    </w:p>
    <w:p w:rsidR="00C57D22" w:rsidRPr="006E4999" w:rsidRDefault="00C57D22" w:rsidP="00C57D22">
      <w:pPr>
        <w:pStyle w:val="ListParagraph"/>
        <w:numPr>
          <w:ilvl w:val="0"/>
          <w:numId w:val="22"/>
        </w:numPr>
        <w:ind w:left="284" w:right="141"/>
        <w:jc w:val="both"/>
        <w:rPr>
          <w:rFonts w:ascii="Times New Roman" w:hAnsi="Times New Roman" w:cs="Times New Roman"/>
          <w:sz w:val="24"/>
          <w:szCs w:val="24"/>
        </w:rPr>
      </w:pPr>
      <w:r w:rsidRPr="006E4999">
        <w:rPr>
          <w:rFonts w:ascii="Times New Roman" w:hAnsi="Times New Roman" w:cs="Times New Roman"/>
          <w:sz w:val="24"/>
          <w:szCs w:val="24"/>
        </w:rPr>
        <w:t xml:space="preserve">Take such other actions as may be necessary or desirable to carry out its duties and </w:t>
      </w:r>
      <w:proofErr w:type="spellStart"/>
      <w:r w:rsidRPr="006E4999">
        <w:rPr>
          <w:rFonts w:ascii="Times New Roman" w:hAnsi="Times New Roman" w:cs="Times New Roman"/>
          <w:sz w:val="24"/>
          <w:szCs w:val="24"/>
        </w:rPr>
        <w:t>responsibity</w:t>
      </w:r>
      <w:proofErr w:type="spellEnd"/>
      <w:r w:rsidRPr="006E4999">
        <w:rPr>
          <w:rFonts w:ascii="Times New Roman" w:hAnsi="Times New Roman" w:cs="Times New Roman"/>
          <w:sz w:val="24"/>
          <w:szCs w:val="24"/>
        </w:rPr>
        <w:t>.</w:t>
      </w:r>
    </w:p>
    <w:p w:rsidR="00C57D22" w:rsidRPr="006E4999" w:rsidRDefault="00C57D22">
      <w:pPr>
        <w:rPr>
          <w:rFonts w:ascii="Times New Roman" w:hAnsi="Times New Roman" w:cs="Times New Roman"/>
          <w:sz w:val="24"/>
          <w:szCs w:val="24"/>
          <w:lang w:val="en-US"/>
        </w:rPr>
      </w:pPr>
    </w:p>
    <w:sectPr w:rsidR="00C57D22" w:rsidRPr="006E4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A9B"/>
    <w:multiLevelType w:val="hybridMultilevel"/>
    <w:tmpl w:val="68B0A1E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37CD6"/>
    <w:multiLevelType w:val="hybridMultilevel"/>
    <w:tmpl w:val="F326BFD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7B42E4"/>
    <w:multiLevelType w:val="hybridMultilevel"/>
    <w:tmpl w:val="7428AF8E"/>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7909AC"/>
    <w:multiLevelType w:val="hybridMultilevel"/>
    <w:tmpl w:val="8AC66AFE"/>
    <w:lvl w:ilvl="0" w:tplc="718224BA">
      <w:start w:val="1"/>
      <w:numFmt w:val="lowerRoman"/>
      <w:lvlText w:val="(%1)"/>
      <w:lvlJc w:val="left"/>
      <w:pPr>
        <w:ind w:left="360" w:hanging="360"/>
      </w:pPr>
      <w:rPr>
        <w:rFonts w:hint="default"/>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1AA2ED6"/>
    <w:multiLevelType w:val="hybridMultilevel"/>
    <w:tmpl w:val="BE8A5BA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1B37982"/>
    <w:multiLevelType w:val="hybridMultilevel"/>
    <w:tmpl w:val="A154AC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45933A8"/>
    <w:multiLevelType w:val="hybridMultilevel"/>
    <w:tmpl w:val="FE943DCE"/>
    <w:lvl w:ilvl="0" w:tplc="718224BA">
      <w:start w:val="1"/>
      <w:numFmt w:val="lowerRoman"/>
      <w:lvlText w:val="(%1)"/>
      <w:lvlJc w:val="left"/>
      <w:pPr>
        <w:ind w:left="360" w:hanging="360"/>
      </w:pPr>
      <w:rPr>
        <w:rFonts w:hint="default"/>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9F29C6"/>
    <w:multiLevelType w:val="hybridMultilevel"/>
    <w:tmpl w:val="925A307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A0217C"/>
    <w:multiLevelType w:val="hybridMultilevel"/>
    <w:tmpl w:val="6A246D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0E46812"/>
    <w:multiLevelType w:val="hybridMultilevel"/>
    <w:tmpl w:val="6FDEF466"/>
    <w:lvl w:ilvl="0" w:tplc="E248A91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1292B88"/>
    <w:multiLevelType w:val="hybridMultilevel"/>
    <w:tmpl w:val="62ACF36A"/>
    <w:lvl w:ilvl="0" w:tplc="718224BA">
      <w:start w:val="1"/>
      <w:numFmt w:val="lowerRoman"/>
      <w:lvlText w:val="(%1)"/>
      <w:lvlJc w:val="left"/>
      <w:pPr>
        <w:ind w:left="360" w:hanging="360"/>
      </w:pPr>
      <w:rPr>
        <w:rFonts w:hint="default"/>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D80F8F"/>
    <w:multiLevelType w:val="hybridMultilevel"/>
    <w:tmpl w:val="48BE29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247621F"/>
    <w:multiLevelType w:val="hybridMultilevel"/>
    <w:tmpl w:val="F5C2ADB2"/>
    <w:lvl w:ilvl="0" w:tplc="718224BA">
      <w:start w:val="1"/>
      <w:numFmt w:val="lowerRoman"/>
      <w:lvlText w:val="(%1)"/>
      <w:lvlJc w:val="left"/>
      <w:pPr>
        <w:ind w:left="360" w:hanging="360"/>
      </w:pPr>
      <w:rPr>
        <w:rFonts w:hint="default"/>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F373C8D"/>
    <w:multiLevelType w:val="hybridMultilevel"/>
    <w:tmpl w:val="36D88BD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4144695"/>
    <w:multiLevelType w:val="hybridMultilevel"/>
    <w:tmpl w:val="EE7CB98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BDA7E49"/>
    <w:multiLevelType w:val="hybridMultilevel"/>
    <w:tmpl w:val="331AD90C"/>
    <w:lvl w:ilvl="0" w:tplc="5DC2752E">
      <w:start w:val="1"/>
      <w:numFmt w:val="decimal"/>
      <w:lvlText w:val="%1."/>
      <w:lvlJc w:val="left"/>
      <w:pPr>
        <w:ind w:left="360" w:hanging="360"/>
      </w:pPr>
      <w:rPr>
        <w:rFonts w:hint="default"/>
        <w:b/>
        <w:i w:val="0"/>
        <w:iCs/>
        <w:color w:val="00000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089365E"/>
    <w:multiLevelType w:val="hybridMultilevel"/>
    <w:tmpl w:val="C38C44C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32B2B4A"/>
    <w:multiLevelType w:val="hybridMultilevel"/>
    <w:tmpl w:val="D02A602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8AD0C60"/>
    <w:multiLevelType w:val="hybridMultilevel"/>
    <w:tmpl w:val="E7ECDB6C"/>
    <w:lvl w:ilvl="0" w:tplc="718224BA">
      <w:start w:val="1"/>
      <w:numFmt w:val="lowerRoman"/>
      <w:lvlText w:val="(%1)"/>
      <w:lvlJc w:val="left"/>
      <w:pPr>
        <w:ind w:left="360" w:hanging="360"/>
      </w:pPr>
      <w:rPr>
        <w:rFonts w:hint="default"/>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D7448C7"/>
    <w:multiLevelType w:val="hybridMultilevel"/>
    <w:tmpl w:val="92A2FE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FB54892"/>
    <w:multiLevelType w:val="hybridMultilevel"/>
    <w:tmpl w:val="F6DAA2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8983BE4"/>
    <w:multiLevelType w:val="hybridMultilevel"/>
    <w:tmpl w:val="C38AFF84"/>
    <w:lvl w:ilvl="0" w:tplc="4009000F">
      <w:start w:val="1"/>
      <w:numFmt w:val="decimal"/>
      <w:lvlText w:val="%1."/>
      <w:lvlJc w:val="left"/>
      <w:pPr>
        <w:ind w:left="360" w:hanging="360"/>
      </w:pPr>
    </w:lvl>
    <w:lvl w:ilvl="1" w:tplc="40090017">
      <w:start w:val="1"/>
      <w:numFmt w:val="lowerLetter"/>
      <w:lvlText w:val="%2)"/>
      <w:lvlJc w:val="left"/>
      <w:pPr>
        <w:ind w:left="360" w:hanging="360"/>
      </w:pPr>
    </w:lvl>
    <w:lvl w:ilvl="2" w:tplc="4009001B">
      <w:start w:val="1"/>
      <w:numFmt w:val="lowerRoman"/>
      <w:lvlText w:val="%3."/>
      <w:lvlJc w:val="right"/>
      <w:pPr>
        <w:ind w:left="1800" w:hanging="180"/>
      </w:pPr>
    </w:lvl>
    <w:lvl w:ilvl="3" w:tplc="36BE63DE">
      <w:start w:val="1"/>
      <w:numFmt w:val="upp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0"/>
  </w:num>
  <w:num w:numId="2">
    <w:abstractNumId w:val="15"/>
  </w:num>
  <w:num w:numId="3">
    <w:abstractNumId w:val="2"/>
  </w:num>
  <w:num w:numId="4">
    <w:abstractNumId w:val="8"/>
  </w:num>
  <w:num w:numId="5">
    <w:abstractNumId w:val="4"/>
  </w:num>
  <w:num w:numId="6">
    <w:abstractNumId w:val="0"/>
  </w:num>
  <w:num w:numId="7">
    <w:abstractNumId w:val="21"/>
  </w:num>
  <w:num w:numId="8">
    <w:abstractNumId w:val="18"/>
  </w:num>
  <w:num w:numId="9">
    <w:abstractNumId w:val="1"/>
  </w:num>
  <w:num w:numId="10">
    <w:abstractNumId w:val="5"/>
  </w:num>
  <w:num w:numId="11">
    <w:abstractNumId w:val="16"/>
  </w:num>
  <w:num w:numId="12">
    <w:abstractNumId w:val="6"/>
  </w:num>
  <w:num w:numId="13">
    <w:abstractNumId w:val="17"/>
  </w:num>
  <w:num w:numId="14">
    <w:abstractNumId w:val="3"/>
  </w:num>
  <w:num w:numId="15">
    <w:abstractNumId w:val="19"/>
  </w:num>
  <w:num w:numId="16">
    <w:abstractNumId w:val="7"/>
  </w:num>
  <w:num w:numId="17">
    <w:abstractNumId w:val="12"/>
  </w:num>
  <w:num w:numId="18">
    <w:abstractNumId w:val="13"/>
  </w:num>
  <w:num w:numId="19">
    <w:abstractNumId w:val="10"/>
  </w:num>
  <w:num w:numId="20">
    <w:abstractNumId w:val="1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22"/>
    <w:rsid w:val="00620F14"/>
    <w:rsid w:val="006E4999"/>
    <w:rsid w:val="007B741F"/>
    <w:rsid w:val="00B6069F"/>
    <w:rsid w:val="00C57D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7B72"/>
  <w15:chartTrackingRefBased/>
  <w15:docId w15:val="{02F50B7E-2D8A-42EB-96DB-042C4E2C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ure,List Paragraph1,heading 9,Heading 91,Heading 911,Heading 92,Heading 93,Heading 94,Heading 9111,Heading 91111,Heading 95,Heading 921,Heading 96,Heading 911111,Heading 97,List Paragraph2,List Paragraph11,heading q0,Report Para,列出段落"/>
    <w:basedOn w:val="Normal"/>
    <w:link w:val="ListParagraphChar"/>
    <w:uiPriority w:val="34"/>
    <w:qFormat/>
    <w:rsid w:val="00C57D22"/>
    <w:pPr>
      <w:spacing w:after="0" w:line="240" w:lineRule="auto"/>
      <w:ind w:left="720"/>
      <w:contextualSpacing/>
    </w:pPr>
    <w:rPr>
      <w:rFonts w:eastAsiaTheme="minorEastAsia"/>
      <w:lang w:eastAsia="en-IN"/>
      <w14:ligatures w14:val="standardContextual"/>
    </w:rPr>
  </w:style>
  <w:style w:type="character" w:customStyle="1" w:styleId="ListParagraphChar">
    <w:name w:val="List Paragraph Char"/>
    <w:aliases w:val="Annexure Char,List Paragraph1 Char,heading 9 Char,Heading 91 Char,Heading 911 Char,Heading 92 Char,Heading 93 Char,Heading 94 Char,Heading 9111 Char,Heading 91111 Char,Heading 95 Char,Heading 921 Char,Heading 96 Char,Heading 97 Char"/>
    <w:link w:val="ListParagraph"/>
    <w:uiPriority w:val="34"/>
    <w:qFormat/>
    <w:locked/>
    <w:rsid w:val="00C57D22"/>
    <w:rPr>
      <w:rFonts w:eastAsiaTheme="minorEastAsia"/>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KFL</dc:creator>
  <cp:keywords/>
  <dc:description/>
  <cp:lastModifiedBy>KFL</cp:lastModifiedBy>
  <cp:revision>3</cp:revision>
  <dcterms:created xsi:type="dcterms:W3CDTF">2026-03-10T06:05:00Z</dcterms:created>
  <dcterms:modified xsi:type="dcterms:W3CDTF">2026-03-10T10:01:00Z</dcterms:modified>
</cp:coreProperties>
</file>