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0793" w14:textId="77777777" w:rsidR="00B70A3C" w:rsidRDefault="00620B72">
      <w:r w:rsidRPr="005A64EF">
        <w:rPr>
          <w:b/>
          <w:bCs/>
          <w:u w:val="single"/>
        </w:rPr>
        <w:t>Awareness on Asset Classification – SMA and NPA</w:t>
      </w:r>
      <w:r w:rsidRPr="00620B72">
        <w:br/>
      </w:r>
    </w:p>
    <w:p w14:paraId="6D610948" w14:textId="759B1925" w:rsidR="00B70A3C" w:rsidRDefault="00620B72">
      <w:r w:rsidRPr="00620B72">
        <w:br/>
        <w:t xml:space="preserve">As part of its investor education and customer awareness initiatives, Kosamattam Finance Limited aims to create awareness regarding the classification of loan accounts based on the number of days the repayment remains overdue. </w:t>
      </w:r>
    </w:p>
    <w:tbl>
      <w:tblPr>
        <w:tblStyle w:val="TableGrid"/>
        <w:tblW w:w="0" w:type="auto"/>
        <w:tblLook w:val="04A0" w:firstRow="1" w:lastRow="0" w:firstColumn="1" w:lastColumn="0" w:noHBand="0" w:noVBand="1"/>
      </w:tblPr>
      <w:tblGrid>
        <w:gridCol w:w="2547"/>
        <w:gridCol w:w="2693"/>
        <w:gridCol w:w="3776"/>
      </w:tblGrid>
      <w:tr w:rsidR="00574085" w14:paraId="2B1597C9" w14:textId="77777777" w:rsidTr="00745BF8">
        <w:tc>
          <w:tcPr>
            <w:tcW w:w="254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3"/>
            </w:tblGrid>
            <w:tr w:rsidR="00574085" w:rsidRPr="00EB7254" w14:paraId="3C35F23C" w14:textId="77777777" w:rsidTr="00380DC8">
              <w:trPr>
                <w:tblCellSpacing w:w="15" w:type="dxa"/>
              </w:trPr>
              <w:tc>
                <w:tcPr>
                  <w:tcW w:w="0" w:type="auto"/>
                  <w:vAlign w:val="center"/>
                  <w:hideMark/>
                </w:tcPr>
                <w:p w14:paraId="1BC3A8F8" w14:textId="77777777" w:rsidR="00574085" w:rsidRPr="00EB7254" w:rsidRDefault="00574085" w:rsidP="00574085">
                  <w:pPr>
                    <w:jc w:val="center"/>
                    <w:rPr>
                      <w:b/>
                      <w:bCs/>
                    </w:rPr>
                  </w:pPr>
                  <w:r w:rsidRPr="00EB7254">
                    <w:rPr>
                      <w:b/>
                      <w:bCs/>
                    </w:rPr>
                    <w:t>Days Past Due (DPD)</w:t>
                  </w:r>
                </w:p>
              </w:tc>
            </w:tr>
          </w:tbl>
          <w:p w14:paraId="57404A7F" w14:textId="77777777" w:rsidR="00574085" w:rsidRDefault="00574085" w:rsidP="00574085"/>
        </w:tc>
        <w:tc>
          <w:tcPr>
            <w:tcW w:w="26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7"/>
            </w:tblGrid>
            <w:tr w:rsidR="00574085" w:rsidRPr="00EB7254" w14:paraId="550C7E07" w14:textId="77777777" w:rsidTr="00380DC8">
              <w:trPr>
                <w:tblCellSpacing w:w="15" w:type="dxa"/>
              </w:trPr>
              <w:tc>
                <w:tcPr>
                  <w:tcW w:w="0" w:type="auto"/>
                  <w:vAlign w:val="center"/>
                  <w:hideMark/>
                </w:tcPr>
                <w:p w14:paraId="7C9AADDA" w14:textId="54AECE62" w:rsidR="00574085" w:rsidRPr="00EB7254" w:rsidRDefault="00574085" w:rsidP="00574085">
                  <w:pPr>
                    <w:jc w:val="center"/>
                    <w:rPr>
                      <w:b/>
                      <w:bCs/>
                    </w:rPr>
                  </w:pPr>
                  <w:r w:rsidRPr="00574085">
                    <w:rPr>
                      <w:b/>
                      <w:bCs/>
                    </w:rPr>
                    <w:t>RBI Asset Classification</w:t>
                  </w:r>
                </w:p>
              </w:tc>
            </w:tr>
          </w:tbl>
          <w:p w14:paraId="5876BD62" w14:textId="77777777" w:rsidR="00574085" w:rsidRDefault="00574085" w:rsidP="00574085"/>
        </w:tc>
        <w:tc>
          <w:tcPr>
            <w:tcW w:w="377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4"/>
            </w:tblGrid>
            <w:tr w:rsidR="00574085" w:rsidRPr="00EB7254" w14:paraId="03266600" w14:textId="77777777" w:rsidTr="00380DC8">
              <w:trPr>
                <w:tblCellSpacing w:w="15" w:type="dxa"/>
              </w:trPr>
              <w:tc>
                <w:tcPr>
                  <w:tcW w:w="0" w:type="auto"/>
                  <w:vAlign w:val="center"/>
                  <w:hideMark/>
                </w:tcPr>
                <w:p w14:paraId="5B4BB9DE" w14:textId="2C295A5E" w:rsidR="00574085" w:rsidRPr="00EB7254" w:rsidRDefault="00574085" w:rsidP="00574085">
                  <w:pPr>
                    <w:jc w:val="center"/>
                    <w:rPr>
                      <w:b/>
                      <w:bCs/>
                    </w:rPr>
                  </w:pPr>
                  <w:r w:rsidRPr="00574085">
                    <w:rPr>
                      <w:b/>
                      <w:bCs/>
                    </w:rPr>
                    <w:t>Ind AS 109 ECL Stage</w:t>
                  </w:r>
                </w:p>
              </w:tc>
            </w:tr>
          </w:tbl>
          <w:p w14:paraId="5E4C2ADF" w14:textId="77777777" w:rsidR="00574085" w:rsidRDefault="00574085" w:rsidP="00574085"/>
        </w:tc>
      </w:tr>
      <w:tr w:rsidR="00574085" w14:paraId="086A1DF1" w14:textId="77777777" w:rsidTr="00745BF8">
        <w:tc>
          <w:tcPr>
            <w:tcW w:w="254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6"/>
            </w:tblGrid>
            <w:tr w:rsidR="00574085" w:rsidRPr="00B227F0" w14:paraId="40C5AC7E" w14:textId="77777777" w:rsidTr="00A813F9">
              <w:trPr>
                <w:tblCellSpacing w:w="15" w:type="dxa"/>
              </w:trPr>
              <w:tc>
                <w:tcPr>
                  <w:tcW w:w="0" w:type="auto"/>
                  <w:vAlign w:val="center"/>
                  <w:hideMark/>
                </w:tcPr>
                <w:p w14:paraId="1607B55F" w14:textId="77777777" w:rsidR="00574085" w:rsidRPr="00B227F0" w:rsidRDefault="00574085" w:rsidP="00574085">
                  <w:r w:rsidRPr="00B227F0">
                    <w:t>No overdue</w:t>
                  </w:r>
                </w:p>
              </w:tc>
            </w:tr>
          </w:tbl>
          <w:p w14:paraId="766CCDA3" w14:textId="77777777" w:rsidR="00574085" w:rsidRDefault="00574085" w:rsidP="00574085"/>
        </w:tc>
        <w:tc>
          <w:tcPr>
            <w:tcW w:w="26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2"/>
            </w:tblGrid>
            <w:tr w:rsidR="00574085" w:rsidRPr="00B227F0" w14:paraId="49F97B14" w14:textId="77777777" w:rsidTr="00A813F9">
              <w:trPr>
                <w:tblCellSpacing w:w="15" w:type="dxa"/>
              </w:trPr>
              <w:tc>
                <w:tcPr>
                  <w:tcW w:w="0" w:type="auto"/>
                  <w:vAlign w:val="center"/>
                  <w:hideMark/>
                </w:tcPr>
                <w:p w14:paraId="7A773357" w14:textId="38EC7AB7" w:rsidR="00574085" w:rsidRPr="00B227F0" w:rsidRDefault="00574085" w:rsidP="00574085">
                  <w:r w:rsidRPr="00574085">
                    <w:t>Standard Asset</w:t>
                  </w:r>
                </w:p>
              </w:tc>
            </w:tr>
          </w:tbl>
          <w:p w14:paraId="4719DB54" w14:textId="77777777" w:rsidR="00574085" w:rsidRDefault="00574085" w:rsidP="00574085"/>
        </w:tc>
        <w:tc>
          <w:tcPr>
            <w:tcW w:w="3776" w:type="dxa"/>
          </w:tcPr>
          <w:p w14:paraId="45FFFBC2" w14:textId="3972E089" w:rsidR="00574085" w:rsidRDefault="00574085" w:rsidP="00574085">
            <w:r w:rsidRPr="00574085">
              <w:t>Stage 1, provided there has been no significant increase in credit risk since initial recognition</w:t>
            </w:r>
            <w:r>
              <w:t>.</w:t>
            </w:r>
          </w:p>
        </w:tc>
      </w:tr>
      <w:tr w:rsidR="00574085" w14:paraId="428FA4BE" w14:textId="77777777" w:rsidTr="00745BF8">
        <w:tc>
          <w:tcPr>
            <w:tcW w:w="2547" w:type="dxa"/>
          </w:tcPr>
          <w:p w14:paraId="6A0B5F92" w14:textId="7916E7E7" w:rsidR="00574085" w:rsidRDefault="00574085">
            <w:r w:rsidRPr="00574085">
              <w:t>1–30 days</w:t>
            </w:r>
          </w:p>
        </w:tc>
        <w:tc>
          <w:tcPr>
            <w:tcW w:w="2693" w:type="dxa"/>
          </w:tcPr>
          <w:p w14:paraId="515E46A5" w14:textId="0395C7D2" w:rsidR="00574085" w:rsidRDefault="00574085">
            <w:r w:rsidRPr="00574085">
              <w:t>SMA-0</w:t>
            </w:r>
          </w:p>
        </w:tc>
        <w:tc>
          <w:tcPr>
            <w:tcW w:w="3776" w:type="dxa"/>
          </w:tcPr>
          <w:p w14:paraId="28C90348" w14:textId="4CB56B21" w:rsidR="00574085" w:rsidRDefault="00574085">
            <w:r w:rsidRPr="00574085">
              <w:t>Stage 1 or Stage 2, depending on the credit risk assessment</w:t>
            </w:r>
            <w:r>
              <w:t>.</w:t>
            </w:r>
          </w:p>
        </w:tc>
      </w:tr>
      <w:tr w:rsidR="00574085" w14:paraId="62AEB54A" w14:textId="77777777" w:rsidTr="00745BF8">
        <w:tc>
          <w:tcPr>
            <w:tcW w:w="2547" w:type="dxa"/>
          </w:tcPr>
          <w:p w14:paraId="1BAFE0B9" w14:textId="65ABB664" w:rsidR="00574085" w:rsidRDefault="00574085">
            <w:r w:rsidRPr="00574085">
              <w:t>31–60 days</w:t>
            </w:r>
          </w:p>
        </w:tc>
        <w:tc>
          <w:tcPr>
            <w:tcW w:w="2693" w:type="dxa"/>
          </w:tcPr>
          <w:p w14:paraId="454CC890" w14:textId="5AF335FF" w:rsidR="00574085" w:rsidRDefault="00574085">
            <w:r w:rsidRPr="00574085">
              <w:t>SMA-1</w:t>
            </w:r>
          </w:p>
        </w:tc>
        <w:tc>
          <w:tcPr>
            <w:tcW w:w="3776" w:type="dxa"/>
          </w:tcPr>
          <w:p w14:paraId="2DB70E5C" w14:textId="35813915" w:rsidR="00574085" w:rsidRDefault="00574085">
            <w:r w:rsidRPr="00574085">
              <w:t>Generally Stage 2; more than 30 days past due gives rise to a rebuttable presumption of a significant increase in credit risk</w:t>
            </w:r>
            <w:r>
              <w:t>.</w:t>
            </w:r>
          </w:p>
        </w:tc>
      </w:tr>
      <w:tr w:rsidR="00574085" w14:paraId="3016ECD8" w14:textId="77777777" w:rsidTr="00745BF8">
        <w:tc>
          <w:tcPr>
            <w:tcW w:w="2547" w:type="dxa"/>
          </w:tcPr>
          <w:p w14:paraId="636DB7DD" w14:textId="6FA522A9" w:rsidR="00574085" w:rsidRDefault="00574085">
            <w:r w:rsidRPr="00574085">
              <w:t>61–90 days</w:t>
            </w:r>
          </w:p>
        </w:tc>
        <w:tc>
          <w:tcPr>
            <w:tcW w:w="2693" w:type="dxa"/>
          </w:tcPr>
          <w:p w14:paraId="03338D47" w14:textId="1D189EA4" w:rsidR="00574085" w:rsidRDefault="00574085">
            <w:r w:rsidRPr="00574085">
              <w:t>SMA-2</w:t>
            </w:r>
          </w:p>
        </w:tc>
        <w:tc>
          <w:tcPr>
            <w:tcW w:w="3776" w:type="dxa"/>
          </w:tcPr>
          <w:p w14:paraId="6BBF9729" w14:textId="6AA10E39" w:rsidR="00574085" w:rsidRDefault="00574085">
            <w:r w:rsidRPr="00574085">
              <w:t xml:space="preserve">Generally Stage 2 at a minimum, subject to the applicable framework; assess for Stage 3 if the asset is </w:t>
            </w:r>
            <w:r w:rsidRPr="00574085">
              <w:t>credit impaired</w:t>
            </w:r>
            <w:r>
              <w:t>.</w:t>
            </w:r>
          </w:p>
        </w:tc>
      </w:tr>
      <w:tr w:rsidR="00574085" w14:paraId="5C1DBACD" w14:textId="77777777" w:rsidTr="00745BF8">
        <w:tc>
          <w:tcPr>
            <w:tcW w:w="2547" w:type="dxa"/>
          </w:tcPr>
          <w:p w14:paraId="7A88E911" w14:textId="6857BCF9" w:rsidR="00574085" w:rsidRDefault="00574085">
            <w:r w:rsidRPr="00574085">
              <w:t>More than 90 days</w:t>
            </w:r>
          </w:p>
        </w:tc>
        <w:tc>
          <w:tcPr>
            <w:tcW w:w="2693" w:type="dxa"/>
          </w:tcPr>
          <w:p w14:paraId="71621FC4" w14:textId="2BC5DD0B" w:rsidR="00574085" w:rsidRDefault="00574085">
            <w:r w:rsidRPr="00574085">
              <w:t>Non-Performing Asset (NPA), subject to applicable RBI prudential norms</w:t>
            </w:r>
            <w:r>
              <w:t>.</w:t>
            </w:r>
          </w:p>
        </w:tc>
        <w:tc>
          <w:tcPr>
            <w:tcW w:w="3776" w:type="dxa"/>
          </w:tcPr>
          <w:p w14:paraId="5C69A64D" w14:textId="763796BF" w:rsidR="00574085" w:rsidRDefault="00574085">
            <w:r w:rsidRPr="00574085">
              <w:t>Generally Stage 3 if the asset is credit-impaired, based on the applicable default and credit impairment assessment</w:t>
            </w:r>
            <w:r>
              <w:t>.</w:t>
            </w:r>
          </w:p>
        </w:tc>
      </w:tr>
    </w:tbl>
    <w:p w14:paraId="17251BFF" w14:textId="7C02CEA9" w:rsidR="00FF7BF0" w:rsidRDefault="00620B72">
      <w:r w:rsidRPr="00620B72">
        <w:br/>
        <w:t>Where the overdue period exceeds 90 days, the account may be classified as a Non-Performing Asset (NPA) – Stage 3 and categorized as Sub-Standard Asset, Doubtful Asset (D1, D2 or D3), or Loss Asset, depending on the period for which the account remains in NPA status and the applicable regulatory requirements. The applicable provisioning requirements increase with the deterioration in asset classification, with Sub-Standard Assets carrying 10% provisioning, D1 20%, D2 30%, D3 50%, and Loss Assets up to 100%, as applicable. Unsecured exposures may also be subject to the applicable NPA classification and provisioning requirements.</w:t>
      </w:r>
      <w:r w:rsidRPr="00620B72">
        <w:br/>
      </w:r>
      <w:r w:rsidRPr="00620B72">
        <w:br/>
        <w:t>Customers are advised to make their loan repayments within the stipulated due dates to maintain their accounts in regular status and avoid the financial and other consequences associated with SMA and NPA classification. </w:t>
      </w:r>
    </w:p>
    <w:sectPr w:rsidR="00FF7BF0" w:rsidSect="00B70A3C">
      <w:pgSz w:w="11906" w:h="16838"/>
      <w:pgMar w:top="1440" w:right="1440" w:bottom="1440"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72"/>
    <w:rsid w:val="0001207B"/>
    <w:rsid w:val="00322AE2"/>
    <w:rsid w:val="00435269"/>
    <w:rsid w:val="0049441C"/>
    <w:rsid w:val="00574085"/>
    <w:rsid w:val="005A64EF"/>
    <w:rsid w:val="00620B72"/>
    <w:rsid w:val="00745BF8"/>
    <w:rsid w:val="00A116F7"/>
    <w:rsid w:val="00A3417C"/>
    <w:rsid w:val="00B70A3C"/>
    <w:rsid w:val="00FF7B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EF27"/>
  <w15:chartTrackingRefBased/>
  <w15:docId w15:val="{5EE6F30E-AF9C-4319-A0CF-987494BF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0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B72"/>
    <w:rPr>
      <w:rFonts w:eastAsiaTheme="majorEastAsia" w:cstheme="majorBidi"/>
      <w:color w:val="272727" w:themeColor="text1" w:themeTint="D8"/>
    </w:rPr>
  </w:style>
  <w:style w:type="paragraph" w:styleId="Title">
    <w:name w:val="Title"/>
    <w:basedOn w:val="Normal"/>
    <w:next w:val="Normal"/>
    <w:link w:val="TitleChar"/>
    <w:uiPriority w:val="10"/>
    <w:qFormat/>
    <w:rsid w:val="00620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B72"/>
    <w:pPr>
      <w:spacing w:before="160"/>
      <w:jc w:val="center"/>
    </w:pPr>
    <w:rPr>
      <w:i/>
      <w:iCs/>
      <w:color w:val="404040" w:themeColor="text1" w:themeTint="BF"/>
    </w:rPr>
  </w:style>
  <w:style w:type="character" w:customStyle="1" w:styleId="QuoteChar">
    <w:name w:val="Quote Char"/>
    <w:basedOn w:val="DefaultParagraphFont"/>
    <w:link w:val="Quote"/>
    <w:uiPriority w:val="29"/>
    <w:rsid w:val="00620B72"/>
    <w:rPr>
      <w:i/>
      <w:iCs/>
      <w:color w:val="404040" w:themeColor="text1" w:themeTint="BF"/>
    </w:rPr>
  </w:style>
  <w:style w:type="paragraph" w:styleId="ListParagraph">
    <w:name w:val="List Paragraph"/>
    <w:basedOn w:val="Normal"/>
    <w:uiPriority w:val="34"/>
    <w:qFormat/>
    <w:rsid w:val="00620B72"/>
    <w:pPr>
      <w:ind w:left="720"/>
      <w:contextualSpacing/>
    </w:pPr>
  </w:style>
  <w:style w:type="character" w:styleId="IntenseEmphasis">
    <w:name w:val="Intense Emphasis"/>
    <w:basedOn w:val="DefaultParagraphFont"/>
    <w:uiPriority w:val="21"/>
    <w:qFormat/>
    <w:rsid w:val="00620B72"/>
    <w:rPr>
      <w:i/>
      <w:iCs/>
      <w:color w:val="0F4761" w:themeColor="accent1" w:themeShade="BF"/>
    </w:rPr>
  </w:style>
  <w:style w:type="paragraph" w:styleId="IntenseQuote">
    <w:name w:val="Intense Quote"/>
    <w:basedOn w:val="Normal"/>
    <w:next w:val="Normal"/>
    <w:link w:val="IntenseQuoteChar"/>
    <w:uiPriority w:val="30"/>
    <w:qFormat/>
    <w:rsid w:val="00620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B72"/>
    <w:rPr>
      <w:i/>
      <w:iCs/>
      <w:color w:val="0F4761" w:themeColor="accent1" w:themeShade="BF"/>
    </w:rPr>
  </w:style>
  <w:style w:type="character" w:styleId="IntenseReference">
    <w:name w:val="Intense Reference"/>
    <w:basedOn w:val="DefaultParagraphFont"/>
    <w:uiPriority w:val="32"/>
    <w:qFormat/>
    <w:rsid w:val="00620B72"/>
    <w:rPr>
      <w:b/>
      <w:bCs/>
      <w:smallCaps/>
      <w:color w:val="0F4761" w:themeColor="accent1" w:themeShade="BF"/>
      <w:spacing w:val="5"/>
    </w:rPr>
  </w:style>
  <w:style w:type="table" w:styleId="TableGrid">
    <w:name w:val="Table Grid"/>
    <w:basedOn w:val="TableNormal"/>
    <w:uiPriority w:val="39"/>
    <w:rsid w:val="00574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285</Words>
  <Characters>1625</Characters>
  <Application>Microsoft Office Word</Application>
  <DocSecurity>0</DocSecurity>
  <Lines>13</Lines>
  <Paragraphs>3</Paragraphs>
  <ScaleCrop>false</ScaleCrop>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RISK DEPARTMENT</dc:creator>
  <cp:keywords/>
  <dc:description/>
  <cp:lastModifiedBy>RISK DEPARTMENT</cp:lastModifiedBy>
  <cp:revision>7</cp:revision>
  <cp:lastPrinted>2026-10-07T04:37:00Z</cp:lastPrinted>
  <dcterms:created xsi:type="dcterms:W3CDTF">2026-10-06T04:19:00Z</dcterms:created>
  <dcterms:modified xsi:type="dcterms:W3CDTF">2026-10-12T09:32:00Z</dcterms:modified>
</cp:coreProperties>
</file>